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F4" w:rsidRPr="006B5AF4" w:rsidRDefault="006B5AF4" w:rsidP="006B5AF4">
      <w:pPr>
        <w:shd w:val="clear" w:color="auto" w:fill="FFFFFF"/>
        <w:spacing w:after="0" w:line="330" w:lineRule="atLeast"/>
        <w:jc w:val="center"/>
        <w:rPr>
          <w:rFonts w:ascii="Arial" w:eastAsia="Times New Roman" w:hAnsi="Arial" w:cs="Arial"/>
          <w:b/>
          <w:color w:val="333333"/>
          <w:sz w:val="32"/>
          <w:szCs w:val="32"/>
        </w:rPr>
      </w:pPr>
      <w:r w:rsidRPr="006B5AF4">
        <w:rPr>
          <w:rFonts w:ascii="Arial" w:eastAsia="Times New Roman" w:hAnsi="Arial" w:cs="Arial"/>
          <w:b/>
          <w:color w:val="333333"/>
          <w:sz w:val="32"/>
          <w:szCs w:val="32"/>
        </w:rPr>
        <w:t>Service Center Procedures</w:t>
      </w:r>
    </w:p>
    <w:p w:rsidR="006B5AF4" w:rsidRDefault="006B5AF4" w:rsidP="00D671A1">
      <w:pPr>
        <w:shd w:val="clear" w:color="auto" w:fill="FFFFFF"/>
        <w:spacing w:after="0" w:line="330" w:lineRule="atLeast"/>
        <w:rPr>
          <w:rFonts w:ascii="Arial" w:eastAsia="Times New Roman" w:hAnsi="Arial" w:cs="Arial"/>
          <w:b/>
          <w:color w:val="333333"/>
          <w:sz w:val="24"/>
          <w:szCs w:val="24"/>
        </w:rPr>
      </w:pPr>
    </w:p>
    <w:p w:rsidR="00494BFB" w:rsidRPr="00D671A1" w:rsidRDefault="00494BFB" w:rsidP="00494BFB">
      <w:pPr>
        <w:pStyle w:val="Heading2"/>
        <w:ind w:left="360"/>
        <w:rPr>
          <w:rFonts w:ascii="Arial" w:hAnsi="Arial" w:cs="Arial"/>
          <w:b w:val="0"/>
          <w:bCs w:val="0"/>
          <w:sz w:val="27"/>
          <w:szCs w:val="27"/>
        </w:rPr>
      </w:pPr>
      <w:bookmarkStart w:id="0" w:name="_Toc14265195"/>
      <w:bookmarkStart w:id="1" w:name="_Toc34646514"/>
      <w:r w:rsidRPr="00D671A1">
        <w:rPr>
          <w:rFonts w:ascii="Arial" w:hAnsi="Arial" w:cs="Arial"/>
          <w:sz w:val="27"/>
          <w:szCs w:val="27"/>
        </w:rPr>
        <w:t>Establishment of New Service Centers</w:t>
      </w:r>
      <w:bookmarkEnd w:id="0"/>
      <w:bookmarkEnd w:id="1"/>
    </w:p>
    <w:p w:rsidR="00494BFB" w:rsidRDefault="00494BFB" w:rsidP="00494BFB">
      <w:pPr>
        <w:numPr>
          <w:ilvl w:val="1"/>
          <w:numId w:val="9"/>
        </w:numPr>
        <w:shd w:val="clear" w:color="auto" w:fill="FFFFFF"/>
        <w:spacing w:after="0" w:line="330" w:lineRule="atLeast"/>
        <w:rPr>
          <w:rFonts w:ascii="Arial" w:eastAsia="Times New Roman" w:hAnsi="Arial" w:cs="Arial"/>
          <w:color w:val="333333"/>
          <w:sz w:val="24"/>
          <w:szCs w:val="24"/>
        </w:rPr>
      </w:pPr>
      <w:r>
        <w:rPr>
          <w:rFonts w:ascii="Arial" w:eastAsia="Times New Roman" w:hAnsi="Arial" w:cs="Arial"/>
          <w:color w:val="333333"/>
          <w:sz w:val="24"/>
          <w:szCs w:val="24"/>
        </w:rPr>
        <w:t>Establishment and financial management is a significant under taking so p</w:t>
      </w:r>
      <w:r w:rsidRPr="00EE23EE">
        <w:rPr>
          <w:rFonts w:ascii="Arial" w:eastAsia="Times New Roman" w:hAnsi="Arial" w:cs="Arial"/>
          <w:color w:val="333333"/>
          <w:sz w:val="24"/>
          <w:szCs w:val="24"/>
        </w:rPr>
        <w:t xml:space="preserve">rior to establishing a new service center, the following items </w:t>
      </w:r>
      <w:r w:rsidRPr="00926932">
        <w:rPr>
          <w:rFonts w:ascii="Arial" w:eastAsia="Times New Roman" w:hAnsi="Arial" w:cs="Arial"/>
          <w:color w:val="333333"/>
          <w:sz w:val="24"/>
          <w:szCs w:val="24"/>
        </w:rPr>
        <w:t>should</w:t>
      </w:r>
      <w:r w:rsidRPr="00EE23EE">
        <w:rPr>
          <w:rFonts w:ascii="Arial" w:eastAsia="Times New Roman" w:hAnsi="Arial" w:cs="Arial"/>
          <w:color w:val="333333"/>
          <w:sz w:val="24"/>
          <w:szCs w:val="24"/>
        </w:rPr>
        <w:t xml:space="preserve"> </w:t>
      </w:r>
      <w:r w:rsidRPr="00926932">
        <w:rPr>
          <w:rFonts w:ascii="Arial" w:eastAsia="Times New Roman" w:hAnsi="Arial" w:cs="Arial"/>
          <w:color w:val="333333"/>
          <w:sz w:val="24"/>
          <w:szCs w:val="24"/>
        </w:rPr>
        <w:t>be consider</w:t>
      </w:r>
      <w:r>
        <w:rPr>
          <w:rFonts w:ascii="Arial" w:eastAsia="Times New Roman" w:hAnsi="Arial" w:cs="Arial"/>
          <w:color w:val="333333"/>
          <w:sz w:val="24"/>
          <w:szCs w:val="24"/>
        </w:rPr>
        <w:t>ed</w:t>
      </w:r>
      <w:r w:rsidRPr="00926932">
        <w:rPr>
          <w:rFonts w:ascii="Arial" w:eastAsia="Times New Roman" w:hAnsi="Arial" w:cs="Arial"/>
          <w:color w:val="333333"/>
          <w:sz w:val="24"/>
          <w:szCs w:val="24"/>
        </w:rPr>
        <w:t>:</w:t>
      </w:r>
    </w:p>
    <w:p w:rsidR="00494BFB" w:rsidRPr="00EC17AE" w:rsidRDefault="00494BFB" w:rsidP="00494BFB">
      <w:pPr>
        <w:numPr>
          <w:ilvl w:val="2"/>
          <w:numId w:val="9"/>
        </w:numPr>
        <w:shd w:val="clear" w:color="auto" w:fill="FFFFFF"/>
        <w:spacing w:after="0" w:line="330" w:lineRule="atLeast"/>
        <w:rPr>
          <w:rFonts w:ascii="Arial" w:eastAsia="Times New Roman" w:hAnsi="Arial" w:cs="Arial"/>
          <w:color w:val="333333"/>
          <w:sz w:val="24"/>
          <w:szCs w:val="24"/>
        </w:rPr>
      </w:pPr>
      <w:r w:rsidRPr="00EC17AE">
        <w:rPr>
          <w:rFonts w:ascii="Arial" w:eastAsia="Times New Roman" w:hAnsi="Arial" w:cs="Arial"/>
          <w:color w:val="333333"/>
          <w:sz w:val="24"/>
          <w:szCs w:val="24"/>
        </w:rPr>
        <w:t>Availability - Is this service available elsewhere on campus, or at a nearby affiliated hospital</w:t>
      </w:r>
      <w:r>
        <w:rPr>
          <w:rFonts w:ascii="Arial" w:eastAsia="Times New Roman" w:hAnsi="Arial" w:cs="Arial"/>
          <w:color w:val="333333"/>
          <w:sz w:val="24"/>
          <w:szCs w:val="24"/>
        </w:rPr>
        <w:t xml:space="preserve"> </w:t>
      </w:r>
      <w:r w:rsidRPr="00EC17AE">
        <w:rPr>
          <w:rFonts w:ascii="Arial" w:eastAsia="Times New Roman" w:hAnsi="Arial" w:cs="Arial"/>
          <w:color w:val="333333"/>
          <w:sz w:val="24"/>
          <w:szCs w:val="24"/>
        </w:rPr>
        <w:t>or other academic institution?</w:t>
      </w:r>
    </w:p>
    <w:p w:rsidR="00494BFB" w:rsidRDefault="00494BFB" w:rsidP="00494BFB">
      <w:pPr>
        <w:numPr>
          <w:ilvl w:val="2"/>
          <w:numId w:val="9"/>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Duration - Is the need for this service short-term or long-term (generally greater than a year)?</w:t>
      </w:r>
    </w:p>
    <w:p w:rsidR="00494BFB" w:rsidRDefault="00494BFB" w:rsidP="00494BFB">
      <w:pPr>
        <w:numPr>
          <w:ilvl w:val="2"/>
          <w:numId w:val="9"/>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Funding - What will be the funding sources for the new Academic Service Center?</w:t>
      </w:r>
      <w:r w:rsidRPr="00765EAD">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If federally funded then the service center income may be considered program income. </w:t>
      </w:r>
    </w:p>
    <w:p w:rsidR="00494BFB" w:rsidRDefault="00494BFB" w:rsidP="00494BFB">
      <w:pPr>
        <w:numPr>
          <w:ilvl w:val="2"/>
          <w:numId w:val="9"/>
        </w:numPr>
        <w:shd w:val="clear" w:color="auto" w:fill="FFFFFF"/>
        <w:spacing w:after="0" w:line="330" w:lineRule="atLeast"/>
        <w:rPr>
          <w:rFonts w:ascii="Arial" w:eastAsia="Times New Roman" w:hAnsi="Arial" w:cs="Arial"/>
          <w:color w:val="333333"/>
          <w:sz w:val="24"/>
          <w:szCs w:val="24"/>
        </w:rPr>
      </w:pPr>
      <w:r w:rsidRPr="00D671A1">
        <w:rPr>
          <w:rFonts w:ascii="Arial" w:eastAsia="Times New Roman" w:hAnsi="Arial" w:cs="Arial"/>
          <w:color w:val="333333"/>
          <w:sz w:val="24"/>
          <w:szCs w:val="24"/>
        </w:rPr>
        <w:t>Customer base - What portion of users will be internal vs. external? Excessive external customers may have UBIT implications</w:t>
      </w:r>
      <w:r>
        <w:rPr>
          <w:rFonts w:ascii="Arial" w:eastAsia="Times New Roman" w:hAnsi="Arial" w:cs="Arial"/>
          <w:color w:val="333333"/>
          <w:sz w:val="24"/>
          <w:szCs w:val="24"/>
        </w:rPr>
        <w:t>.</w:t>
      </w:r>
    </w:p>
    <w:p w:rsidR="00494BFB" w:rsidRPr="00D671A1" w:rsidRDefault="00494BFB" w:rsidP="00494BFB">
      <w:pPr>
        <w:numPr>
          <w:ilvl w:val="2"/>
          <w:numId w:val="9"/>
        </w:numPr>
        <w:shd w:val="clear" w:color="auto" w:fill="FFFFFF"/>
        <w:spacing w:after="0" w:line="330" w:lineRule="atLeast"/>
        <w:rPr>
          <w:rFonts w:ascii="Arial" w:eastAsia="Times New Roman" w:hAnsi="Arial" w:cs="Arial"/>
          <w:color w:val="333333"/>
          <w:sz w:val="24"/>
          <w:szCs w:val="24"/>
        </w:rPr>
      </w:pPr>
      <w:r w:rsidRPr="00D671A1">
        <w:rPr>
          <w:rFonts w:ascii="Arial" w:eastAsia="Times New Roman" w:hAnsi="Arial" w:cs="Arial"/>
          <w:color w:val="333333"/>
          <w:sz w:val="24"/>
          <w:szCs w:val="24"/>
        </w:rPr>
        <w:t xml:space="preserve">Additional items to consider considered: </w:t>
      </w:r>
    </w:p>
    <w:p w:rsidR="00494BFB" w:rsidRPr="00640DBA" w:rsidRDefault="00494BFB" w:rsidP="00494BFB">
      <w:pPr>
        <w:numPr>
          <w:ilvl w:val="3"/>
          <w:numId w:val="8"/>
        </w:numPr>
        <w:shd w:val="clear" w:color="auto" w:fill="FFFFFF"/>
        <w:spacing w:after="0" w:line="330" w:lineRule="atLeast"/>
        <w:rPr>
          <w:rFonts w:ascii="Arial" w:eastAsia="Times New Roman" w:hAnsi="Arial" w:cs="Arial"/>
          <w:color w:val="333333"/>
          <w:sz w:val="24"/>
          <w:szCs w:val="24"/>
        </w:rPr>
      </w:pPr>
      <w:r w:rsidRPr="00640DBA">
        <w:rPr>
          <w:rFonts w:ascii="Arial" w:eastAsia="Times New Roman" w:hAnsi="Arial" w:cs="Arial"/>
          <w:color w:val="333333"/>
          <w:sz w:val="24"/>
          <w:szCs w:val="24"/>
        </w:rPr>
        <w:t>Facility Overview - What is the name and purpose of Center, how does it support the</w:t>
      </w:r>
      <w:r>
        <w:rPr>
          <w:rFonts w:ascii="Arial" w:eastAsia="Times New Roman" w:hAnsi="Arial" w:cs="Arial"/>
          <w:color w:val="333333"/>
          <w:sz w:val="24"/>
          <w:szCs w:val="24"/>
        </w:rPr>
        <w:t xml:space="preserve"> </w:t>
      </w:r>
      <w:r w:rsidR="0056556E">
        <w:rPr>
          <w:rFonts w:ascii="Arial" w:eastAsia="Times New Roman" w:hAnsi="Arial" w:cs="Arial"/>
          <w:color w:val="333333"/>
          <w:sz w:val="24"/>
          <w:szCs w:val="24"/>
        </w:rPr>
        <w:t>u</w:t>
      </w:r>
      <w:r w:rsidRPr="00640DBA">
        <w:rPr>
          <w:rFonts w:ascii="Arial" w:eastAsia="Times New Roman" w:hAnsi="Arial" w:cs="Arial"/>
          <w:color w:val="333333"/>
          <w:sz w:val="24"/>
          <w:szCs w:val="24"/>
        </w:rPr>
        <w:t>niversity’s mission, and what are the products or services to be offered?</w:t>
      </w:r>
    </w:p>
    <w:p w:rsidR="00494BFB" w:rsidRPr="00F225A4" w:rsidRDefault="00494BFB" w:rsidP="00494BFB">
      <w:pPr>
        <w:numPr>
          <w:ilvl w:val="3"/>
          <w:numId w:val="8"/>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Responsibility - Who will be responsible for managing the Service Center?</w:t>
      </w:r>
    </w:p>
    <w:p w:rsidR="00494BFB" w:rsidRPr="00F225A4" w:rsidRDefault="00494BFB" w:rsidP="00494BFB">
      <w:pPr>
        <w:numPr>
          <w:ilvl w:val="3"/>
          <w:numId w:val="8"/>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Employees - How will the service center be staffed?</w:t>
      </w:r>
    </w:p>
    <w:p w:rsidR="00494BFB" w:rsidRPr="00F225A4" w:rsidRDefault="00494BFB" w:rsidP="00494BFB">
      <w:pPr>
        <w:numPr>
          <w:ilvl w:val="3"/>
          <w:numId w:val="8"/>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Access - Will the Service Center provide access to all investigators?</w:t>
      </w:r>
    </w:p>
    <w:p w:rsidR="00494BFB" w:rsidRPr="00F225A4" w:rsidRDefault="00494BFB" w:rsidP="00494BFB">
      <w:pPr>
        <w:numPr>
          <w:ilvl w:val="3"/>
          <w:numId w:val="8"/>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Billing - Who will be responsible for billing for the Service Center?</w:t>
      </w:r>
    </w:p>
    <w:p w:rsidR="00494BFB" w:rsidRPr="00F225A4" w:rsidRDefault="00494BFB" w:rsidP="00494BFB">
      <w:pPr>
        <w:numPr>
          <w:ilvl w:val="3"/>
          <w:numId w:val="8"/>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Equipment - What capital equipment/resources will be needed?</w:t>
      </w:r>
    </w:p>
    <w:p w:rsidR="00494BFB" w:rsidRPr="00F225A4" w:rsidRDefault="00494BFB" w:rsidP="00494BFB">
      <w:pPr>
        <w:numPr>
          <w:ilvl w:val="3"/>
          <w:numId w:val="8"/>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Space - Where will the Service Center be located? (</w:t>
      </w:r>
      <w:r>
        <w:rPr>
          <w:rFonts w:ascii="Arial" w:eastAsia="Times New Roman" w:hAnsi="Arial" w:cs="Arial"/>
          <w:color w:val="333333"/>
          <w:sz w:val="24"/>
          <w:szCs w:val="24"/>
        </w:rPr>
        <w:t xml:space="preserve">building, </w:t>
      </w:r>
      <w:r w:rsidRPr="00F225A4">
        <w:rPr>
          <w:rFonts w:ascii="Arial" w:eastAsia="Times New Roman" w:hAnsi="Arial" w:cs="Arial"/>
          <w:color w:val="333333"/>
          <w:sz w:val="24"/>
          <w:szCs w:val="24"/>
        </w:rPr>
        <w:t>room #)</w:t>
      </w:r>
    </w:p>
    <w:p w:rsidR="00494BFB" w:rsidRPr="00F225A4" w:rsidRDefault="00494BFB" w:rsidP="00494BFB">
      <w:pPr>
        <w:numPr>
          <w:ilvl w:val="3"/>
          <w:numId w:val="8"/>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Workflow - What is the planned scheduling process?</w:t>
      </w:r>
    </w:p>
    <w:p w:rsidR="00494BFB" w:rsidRDefault="00494BFB" w:rsidP="00494BFB">
      <w:pPr>
        <w:numPr>
          <w:ilvl w:val="3"/>
          <w:numId w:val="8"/>
        </w:numPr>
        <w:shd w:val="clear" w:color="auto" w:fill="FFFFFF"/>
        <w:spacing w:after="0" w:line="330" w:lineRule="atLeast"/>
        <w:rPr>
          <w:rFonts w:ascii="Arial" w:eastAsia="Times New Roman" w:hAnsi="Arial" w:cs="Arial"/>
          <w:color w:val="333333"/>
          <w:sz w:val="24"/>
          <w:szCs w:val="24"/>
        </w:rPr>
      </w:pPr>
      <w:r w:rsidRPr="00F225A4">
        <w:rPr>
          <w:rFonts w:ascii="Arial" w:eastAsia="Times New Roman" w:hAnsi="Arial" w:cs="Arial"/>
          <w:color w:val="333333"/>
          <w:sz w:val="24"/>
          <w:szCs w:val="24"/>
        </w:rPr>
        <w:t>Marketing - Are there any plans to promote the services to be provided?</w:t>
      </w:r>
    </w:p>
    <w:p w:rsidR="00494BFB" w:rsidRPr="0080069F" w:rsidRDefault="00494BFB" w:rsidP="00494BFB">
      <w:pPr>
        <w:numPr>
          <w:ilvl w:val="1"/>
          <w:numId w:val="9"/>
        </w:numPr>
        <w:shd w:val="clear" w:color="auto" w:fill="FFFFFF"/>
        <w:spacing w:after="0" w:line="330" w:lineRule="atLeast"/>
        <w:rPr>
          <w:rFonts w:ascii="Arial" w:eastAsia="Times New Roman" w:hAnsi="Arial" w:cs="Arial"/>
          <w:sz w:val="24"/>
          <w:szCs w:val="24"/>
        </w:rPr>
      </w:pPr>
      <w:r>
        <w:rPr>
          <w:rFonts w:ascii="Arial" w:eastAsia="Times New Roman" w:hAnsi="Arial" w:cs="Arial"/>
          <w:color w:val="333333"/>
          <w:sz w:val="24"/>
          <w:szCs w:val="24"/>
        </w:rPr>
        <w:t xml:space="preserve">Creation of the service center will require </w:t>
      </w:r>
      <w:r w:rsidRPr="0042148C">
        <w:rPr>
          <w:rFonts w:ascii="Arial" w:eastAsia="Times New Roman" w:hAnsi="Arial" w:cs="Arial"/>
          <w:color w:val="333333"/>
          <w:sz w:val="24"/>
          <w:szCs w:val="24"/>
        </w:rPr>
        <w:t>Request for New Service Center Form</w:t>
      </w:r>
      <w:r>
        <w:rPr>
          <w:rFonts w:ascii="Arial" w:eastAsia="Times New Roman" w:hAnsi="Arial" w:cs="Arial"/>
          <w:color w:val="333333"/>
          <w:sz w:val="24"/>
          <w:szCs w:val="24"/>
          <w:u w:val="single"/>
        </w:rPr>
        <w:t xml:space="preserve"> </w:t>
      </w:r>
      <w:r>
        <w:rPr>
          <w:rFonts w:ascii="Arial" w:eastAsia="Times New Roman" w:hAnsi="Arial" w:cs="Arial"/>
          <w:color w:val="333333"/>
          <w:sz w:val="24"/>
          <w:szCs w:val="24"/>
        </w:rPr>
        <w:t>and supporting documentation.</w:t>
      </w:r>
      <w:r w:rsidRPr="005F0686">
        <w:rPr>
          <w:rFonts w:ascii="Arial" w:eastAsia="Times New Roman" w:hAnsi="Arial" w:cs="Arial"/>
          <w:color w:val="333333"/>
          <w:sz w:val="24"/>
          <w:szCs w:val="24"/>
        </w:rPr>
        <w:t xml:space="preserve"> The</w:t>
      </w:r>
      <w:r>
        <w:rPr>
          <w:rFonts w:ascii="Arial" w:eastAsia="Times New Roman" w:hAnsi="Arial" w:cs="Arial"/>
          <w:color w:val="333333"/>
          <w:sz w:val="24"/>
          <w:szCs w:val="24"/>
        </w:rPr>
        <w:t xml:space="preserve"> request</w:t>
      </w:r>
      <w:r w:rsidRPr="005F0686">
        <w:rPr>
          <w:rFonts w:ascii="Arial" w:eastAsia="Times New Roman" w:hAnsi="Arial" w:cs="Arial"/>
          <w:color w:val="333333"/>
          <w:sz w:val="24"/>
          <w:szCs w:val="24"/>
        </w:rPr>
        <w:t xml:space="preserve"> must be approved by the </w:t>
      </w:r>
      <w:r>
        <w:rPr>
          <w:rFonts w:ascii="Arial" w:eastAsia="Times New Roman" w:hAnsi="Arial" w:cs="Arial"/>
          <w:color w:val="333333"/>
          <w:sz w:val="24"/>
          <w:szCs w:val="24"/>
        </w:rPr>
        <w:t>d</w:t>
      </w:r>
      <w:r w:rsidRPr="005F0686">
        <w:rPr>
          <w:rFonts w:ascii="Arial" w:eastAsia="Times New Roman" w:hAnsi="Arial" w:cs="Arial"/>
          <w:color w:val="333333"/>
          <w:sz w:val="24"/>
          <w:szCs w:val="24"/>
        </w:rPr>
        <w:t xml:space="preserve">ean or </w:t>
      </w:r>
      <w:r>
        <w:rPr>
          <w:rFonts w:ascii="Arial" w:eastAsia="Times New Roman" w:hAnsi="Arial" w:cs="Arial"/>
          <w:color w:val="333333"/>
          <w:sz w:val="24"/>
          <w:szCs w:val="24"/>
        </w:rPr>
        <w:t>d</w:t>
      </w:r>
      <w:r w:rsidRPr="005F0686">
        <w:rPr>
          <w:rFonts w:ascii="Arial" w:eastAsia="Times New Roman" w:hAnsi="Arial" w:cs="Arial"/>
          <w:color w:val="333333"/>
          <w:sz w:val="24"/>
          <w:szCs w:val="24"/>
        </w:rPr>
        <w:t xml:space="preserve">epartment </w:t>
      </w:r>
      <w:r>
        <w:rPr>
          <w:rFonts w:ascii="Arial" w:eastAsia="Times New Roman" w:hAnsi="Arial" w:cs="Arial"/>
          <w:color w:val="333333"/>
          <w:sz w:val="24"/>
          <w:szCs w:val="24"/>
        </w:rPr>
        <w:t>h</w:t>
      </w:r>
      <w:r w:rsidRPr="005F0686">
        <w:rPr>
          <w:rFonts w:ascii="Arial" w:eastAsia="Times New Roman" w:hAnsi="Arial" w:cs="Arial"/>
          <w:color w:val="333333"/>
          <w:sz w:val="24"/>
          <w:szCs w:val="24"/>
        </w:rPr>
        <w:t>ead of the school or department where the center will be located.</w:t>
      </w:r>
      <w:r>
        <w:rPr>
          <w:rFonts w:ascii="Arial" w:eastAsia="Times New Roman" w:hAnsi="Arial" w:cs="Arial"/>
          <w:color w:val="333333"/>
          <w:sz w:val="24"/>
          <w:szCs w:val="24"/>
        </w:rPr>
        <w:t xml:space="preserve"> </w:t>
      </w:r>
      <w:r w:rsidRPr="0080069F">
        <w:rPr>
          <w:rFonts w:ascii="Arial" w:eastAsia="Times New Roman" w:hAnsi="Arial" w:cs="Arial"/>
          <w:sz w:val="24"/>
          <w:szCs w:val="24"/>
        </w:rPr>
        <w:t xml:space="preserve">A new service center index is established by completing a request for a new Banner Index and sending the request to the </w:t>
      </w:r>
      <w:r w:rsidR="0056556E" w:rsidRPr="0080069F">
        <w:rPr>
          <w:rFonts w:ascii="Arial" w:eastAsia="Times New Roman" w:hAnsi="Arial" w:cs="Arial"/>
          <w:sz w:val="24"/>
          <w:szCs w:val="24"/>
        </w:rPr>
        <w:t>u</w:t>
      </w:r>
      <w:r w:rsidRPr="0080069F">
        <w:rPr>
          <w:rFonts w:ascii="Arial" w:eastAsia="Times New Roman" w:hAnsi="Arial" w:cs="Arial"/>
          <w:sz w:val="24"/>
          <w:szCs w:val="24"/>
        </w:rPr>
        <w:t xml:space="preserve">niversity </w:t>
      </w:r>
      <w:r w:rsidR="0056556E" w:rsidRPr="0080069F">
        <w:rPr>
          <w:rFonts w:ascii="Arial" w:eastAsia="Times New Roman" w:hAnsi="Arial" w:cs="Arial"/>
          <w:sz w:val="24"/>
          <w:szCs w:val="24"/>
        </w:rPr>
        <w:t>c</w:t>
      </w:r>
      <w:r w:rsidRPr="0080069F">
        <w:rPr>
          <w:rFonts w:ascii="Arial" w:eastAsia="Times New Roman" w:hAnsi="Arial" w:cs="Arial"/>
          <w:sz w:val="24"/>
          <w:szCs w:val="24"/>
        </w:rPr>
        <w:t xml:space="preserve">ontroller’s </w:t>
      </w:r>
      <w:r w:rsidR="0056556E" w:rsidRPr="0080069F">
        <w:rPr>
          <w:rFonts w:ascii="Arial" w:eastAsia="Times New Roman" w:hAnsi="Arial" w:cs="Arial"/>
          <w:sz w:val="24"/>
          <w:szCs w:val="24"/>
        </w:rPr>
        <w:t>o</w:t>
      </w:r>
      <w:r w:rsidRPr="0080069F">
        <w:rPr>
          <w:rFonts w:ascii="Arial" w:eastAsia="Times New Roman" w:hAnsi="Arial" w:cs="Arial"/>
          <w:sz w:val="24"/>
          <w:szCs w:val="24"/>
        </w:rPr>
        <w:t>ffice. The following information should be attached to the request:</w:t>
      </w:r>
    </w:p>
    <w:p w:rsidR="00494BFB" w:rsidRPr="005F0686" w:rsidRDefault="00494BFB" w:rsidP="00494BFB">
      <w:pPr>
        <w:numPr>
          <w:ilvl w:val="2"/>
          <w:numId w:val="9"/>
        </w:numPr>
        <w:shd w:val="clear" w:color="auto" w:fill="FFFFFF"/>
        <w:spacing w:after="0" w:line="330" w:lineRule="atLeast"/>
        <w:rPr>
          <w:rFonts w:ascii="Arial" w:eastAsia="Times New Roman" w:hAnsi="Arial" w:cs="Arial"/>
          <w:color w:val="333333"/>
          <w:sz w:val="24"/>
          <w:szCs w:val="24"/>
        </w:rPr>
      </w:pPr>
      <w:r>
        <w:rPr>
          <w:rFonts w:ascii="Arial" w:eastAsia="Times New Roman" w:hAnsi="Arial" w:cs="Arial"/>
          <w:color w:val="333333"/>
          <w:sz w:val="24"/>
          <w:szCs w:val="24"/>
        </w:rPr>
        <w:t xml:space="preserve">A Financial Business Plan - </w:t>
      </w:r>
      <w:r w:rsidRPr="005F0686">
        <w:rPr>
          <w:rFonts w:ascii="Arial" w:eastAsia="Times New Roman" w:hAnsi="Arial" w:cs="Arial"/>
          <w:color w:val="333333"/>
          <w:sz w:val="24"/>
          <w:szCs w:val="24"/>
        </w:rPr>
        <w:t>A description of the services to be provided and the users of the services</w:t>
      </w:r>
      <w:r>
        <w:rPr>
          <w:rFonts w:ascii="Arial" w:eastAsia="Times New Roman" w:hAnsi="Arial" w:cs="Arial"/>
          <w:color w:val="333333"/>
          <w:sz w:val="24"/>
          <w:szCs w:val="24"/>
        </w:rPr>
        <w:t xml:space="preserve"> and t</w:t>
      </w:r>
      <w:r w:rsidRPr="005F0686">
        <w:rPr>
          <w:rFonts w:ascii="Arial" w:eastAsia="Times New Roman" w:hAnsi="Arial" w:cs="Arial"/>
          <w:color w:val="333333"/>
          <w:sz w:val="24"/>
          <w:szCs w:val="24"/>
        </w:rPr>
        <w:t>he reasons why the services can best be provided by an internal service center, rather than by an external service provider.</w:t>
      </w:r>
    </w:p>
    <w:p w:rsidR="00494BFB" w:rsidRDefault="00494BFB" w:rsidP="00494BFB">
      <w:pPr>
        <w:numPr>
          <w:ilvl w:val="2"/>
          <w:numId w:val="9"/>
        </w:numPr>
        <w:shd w:val="clear" w:color="auto" w:fill="FFFFFF"/>
        <w:spacing w:after="0" w:line="330" w:lineRule="atLeast"/>
        <w:rPr>
          <w:rFonts w:ascii="Arial" w:eastAsia="Times New Roman" w:hAnsi="Arial" w:cs="Arial"/>
          <w:color w:val="333333"/>
          <w:sz w:val="24"/>
          <w:szCs w:val="24"/>
        </w:rPr>
      </w:pPr>
      <w:r w:rsidRPr="00D671A1">
        <w:rPr>
          <w:rFonts w:ascii="Arial" w:eastAsia="Times New Roman" w:hAnsi="Arial" w:cs="Arial"/>
          <w:color w:val="333333"/>
          <w:sz w:val="24"/>
          <w:szCs w:val="24"/>
        </w:rPr>
        <w:t xml:space="preserve">Rate Calculation - A billing rate calculation and, where possible, a comparison of the internal rates with the rates charged by external service providers. </w:t>
      </w:r>
      <w:r w:rsidRPr="00D671A1">
        <w:rPr>
          <w:rFonts w:ascii="Arial" w:eastAsia="Times New Roman" w:hAnsi="Arial" w:cs="Arial"/>
          <w:bCs/>
          <w:color w:val="333333"/>
          <w:sz w:val="24"/>
          <w:szCs w:val="24"/>
        </w:rPr>
        <w:t>New service centers should project sales volume and set their rate to cover the projected operating expenses</w:t>
      </w:r>
      <w:r w:rsidRPr="00D671A1">
        <w:rPr>
          <w:rFonts w:ascii="Arial" w:eastAsia="Times New Roman" w:hAnsi="Arial" w:cs="Arial"/>
          <w:color w:val="333333"/>
          <w:sz w:val="24"/>
          <w:szCs w:val="24"/>
        </w:rPr>
        <w:t xml:space="preserve"> </w:t>
      </w:r>
    </w:p>
    <w:p w:rsidR="00494BFB" w:rsidRPr="00D671A1" w:rsidRDefault="00494BFB" w:rsidP="00494BFB">
      <w:pPr>
        <w:numPr>
          <w:ilvl w:val="2"/>
          <w:numId w:val="9"/>
        </w:numPr>
        <w:shd w:val="clear" w:color="auto" w:fill="FFFFFF"/>
        <w:spacing w:after="0" w:line="330" w:lineRule="atLeast"/>
        <w:rPr>
          <w:rFonts w:ascii="Arial" w:eastAsia="Times New Roman" w:hAnsi="Arial" w:cs="Arial"/>
          <w:color w:val="333333"/>
          <w:sz w:val="24"/>
          <w:szCs w:val="24"/>
        </w:rPr>
      </w:pPr>
      <w:r w:rsidRPr="00D671A1">
        <w:rPr>
          <w:rFonts w:ascii="Arial" w:eastAsia="Times New Roman" w:hAnsi="Arial" w:cs="Arial"/>
          <w:color w:val="333333"/>
          <w:sz w:val="24"/>
          <w:szCs w:val="24"/>
        </w:rPr>
        <w:t>Budget Document - A projection of the costs and utilization of the services.</w:t>
      </w:r>
    </w:p>
    <w:p w:rsidR="00494BFB" w:rsidRPr="005F0686" w:rsidRDefault="00494BFB" w:rsidP="00494BFB">
      <w:pPr>
        <w:numPr>
          <w:ilvl w:val="2"/>
          <w:numId w:val="9"/>
        </w:numPr>
        <w:shd w:val="clear" w:color="auto" w:fill="FFFFFF"/>
        <w:spacing w:after="0" w:line="330" w:lineRule="atLeast"/>
        <w:rPr>
          <w:rFonts w:ascii="Arial" w:eastAsia="Times New Roman" w:hAnsi="Arial" w:cs="Arial"/>
          <w:color w:val="333333"/>
          <w:sz w:val="24"/>
          <w:szCs w:val="24"/>
        </w:rPr>
      </w:pPr>
      <w:r>
        <w:rPr>
          <w:rFonts w:ascii="Arial" w:eastAsia="Times New Roman" w:hAnsi="Arial" w:cs="Arial"/>
          <w:color w:val="333333"/>
          <w:sz w:val="24"/>
          <w:szCs w:val="24"/>
        </w:rPr>
        <w:t xml:space="preserve">Operating Policies and Procedures – which will cover Billing Processes, documentation requirements, and on-going monitoring process. </w:t>
      </w:r>
    </w:p>
    <w:p w:rsidR="00494BFB" w:rsidRDefault="00494BFB" w:rsidP="00494BFB">
      <w:pPr>
        <w:shd w:val="clear" w:color="auto" w:fill="FFFFFF"/>
        <w:spacing w:after="0" w:line="330" w:lineRule="atLeast"/>
        <w:ind w:left="2880"/>
        <w:rPr>
          <w:rFonts w:ascii="Arial" w:eastAsia="Times New Roman" w:hAnsi="Arial" w:cs="Arial"/>
          <w:color w:val="333333"/>
          <w:sz w:val="24"/>
          <w:szCs w:val="24"/>
        </w:rPr>
      </w:pPr>
    </w:p>
    <w:p w:rsidR="00494BFB" w:rsidRPr="00EE23EE" w:rsidRDefault="00494BFB" w:rsidP="00494BFB">
      <w:pPr>
        <w:numPr>
          <w:ilvl w:val="1"/>
          <w:numId w:val="9"/>
        </w:numPr>
        <w:shd w:val="clear" w:color="auto" w:fill="FFFFFF"/>
        <w:spacing w:after="0" w:line="330" w:lineRule="atLeast"/>
        <w:rPr>
          <w:rFonts w:ascii="Arial" w:eastAsia="Times New Roman" w:hAnsi="Arial" w:cs="Arial"/>
          <w:b/>
          <w:color w:val="333333"/>
          <w:sz w:val="24"/>
          <w:szCs w:val="24"/>
        </w:rPr>
      </w:pPr>
      <w:r w:rsidRPr="00EE23EE">
        <w:rPr>
          <w:rFonts w:ascii="Arial" w:eastAsia="Times New Roman" w:hAnsi="Arial" w:cs="Arial"/>
          <w:b/>
          <w:color w:val="333333"/>
          <w:sz w:val="24"/>
          <w:szCs w:val="24"/>
        </w:rPr>
        <w:t xml:space="preserve">Service Center Creation </w:t>
      </w:r>
      <w:r>
        <w:rPr>
          <w:rFonts w:ascii="Arial" w:eastAsia="Times New Roman" w:hAnsi="Arial" w:cs="Arial"/>
          <w:b/>
          <w:color w:val="333333"/>
          <w:sz w:val="24"/>
          <w:szCs w:val="24"/>
        </w:rPr>
        <w:t>Flowchart</w:t>
      </w:r>
    </w:p>
    <w:p w:rsidR="00494BFB" w:rsidRDefault="00494BFB" w:rsidP="00494BFB">
      <w:pPr>
        <w:shd w:val="clear" w:color="auto" w:fill="FFFFFF"/>
        <w:spacing w:after="0" w:line="330" w:lineRule="atLeast"/>
        <w:ind w:left="720"/>
        <w:rPr>
          <w:rFonts w:ascii="Arial" w:eastAsia="Times New Roman" w:hAnsi="Arial" w:cs="Arial"/>
          <w:color w:val="333333"/>
          <w:sz w:val="24"/>
          <w:szCs w:val="24"/>
        </w:rPr>
      </w:pPr>
      <w:r>
        <w:rPr>
          <w:rFonts w:ascii="Arial" w:eastAsia="Times New Roman" w:hAnsi="Arial" w:cs="Arial"/>
          <w:noProof/>
          <w:color w:val="333333"/>
          <w:sz w:val="24"/>
          <w:szCs w:val="24"/>
        </w:rPr>
        <mc:AlternateContent>
          <mc:Choice Requires="wps">
            <w:drawing>
              <wp:anchor distT="0" distB="0" distL="114300" distR="114300" simplePos="0" relativeHeight="251659264" behindDoc="0" locked="0" layoutInCell="1" allowOverlap="1" wp14:anchorId="54D5E9F7" wp14:editId="2D7D8D10">
                <wp:simplePos x="0" y="0"/>
                <wp:positionH relativeFrom="column">
                  <wp:posOffset>419100</wp:posOffset>
                </wp:positionH>
                <wp:positionV relativeFrom="paragraph">
                  <wp:posOffset>1905</wp:posOffset>
                </wp:positionV>
                <wp:extent cx="6000750" cy="2295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000750" cy="22955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D0962" id="Rectangle 5" o:spid="_x0000_s1026" style="position:absolute;margin-left:33pt;margin-top:.15pt;width:472.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" filled="f" strokecolor="black [3200]" strokeweight="1pt"/>
            </w:pict>
          </mc:Fallback>
        </mc:AlternateContent>
      </w:r>
      <w:r>
        <w:rPr>
          <w:rFonts w:ascii="Arial" w:eastAsia="Times New Roman" w:hAnsi="Arial" w:cs="Arial"/>
          <w:noProof/>
          <w:color w:val="333333"/>
          <w:sz w:val="24"/>
          <w:szCs w:val="24"/>
        </w:rPr>
        <w:drawing>
          <wp:inline distT="0" distB="0" distL="0" distR="0" wp14:anchorId="44995A9B" wp14:editId="4A35C433">
            <wp:extent cx="5935980" cy="2225040"/>
            <wp:effectExtent l="57150" t="0" r="7620" b="41910"/>
            <wp:docPr id="2" name="Picture 2" descr="Untitled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2225040"/>
                    </a:xfrm>
                    <a:prstGeom prst="rect">
                      <a:avLst/>
                    </a:prstGeom>
                    <a:noFill/>
                    <a:ln>
                      <a:noFill/>
                    </a:ln>
                    <a:effectLst>
                      <a:outerShdw dist="56796" dir="9206097" algn="ctr" rotWithShape="0">
                        <a:schemeClr val="bg1">
                          <a:lumMod val="65000"/>
                          <a:lumOff val="0"/>
                          <a:alpha val="50000"/>
                        </a:schemeClr>
                      </a:outerShdw>
                    </a:effectLst>
                  </pic:spPr>
                </pic:pic>
              </a:graphicData>
            </a:graphic>
          </wp:inline>
        </w:drawing>
      </w:r>
    </w:p>
    <w:p w:rsidR="00494BFB" w:rsidRDefault="00494BFB" w:rsidP="00D671A1">
      <w:pPr>
        <w:shd w:val="clear" w:color="auto" w:fill="FFFFFF"/>
        <w:spacing w:after="0" w:line="330" w:lineRule="atLeast"/>
        <w:rPr>
          <w:rFonts w:ascii="Arial" w:eastAsia="Times New Roman" w:hAnsi="Arial" w:cs="Arial"/>
          <w:b/>
          <w:color w:val="333333"/>
          <w:sz w:val="24"/>
          <w:szCs w:val="24"/>
        </w:rPr>
      </w:pPr>
    </w:p>
    <w:p w:rsidR="009653BB" w:rsidRDefault="009653BB" w:rsidP="00D671A1">
      <w:pPr>
        <w:shd w:val="clear" w:color="auto" w:fill="FFFFFF"/>
        <w:spacing w:after="0" w:line="330" w:lineRule="atLeast"/>
        <w:rPr>
          <w:rFonts w:ascii="Arial" w:eastAsia="Times New Roman" w:hAnsi="Arial" w:cs="Arial"/>
          <w:b/>
          <w:color w:val="333333"/>
          <w:sz w:val="24"/>
          <w:szCs w:val="24"/>
        </w:rPr>
      </w:pPr>
      <w:r w:rsidRPr="00EE23EE">
        <w:rPr>
          <w:rFonts w:ascii="Arial" w:eastAsia="Times New Roman" w:hAnsi="Arial" w:cs="Arial"/>
          <w:b/>
          <w:color w:val="333333"/>
          <w:sz w:val="24"/>
          <w:szCs w:val="24"/>
        </w:rPr>
        <w:t>Allowable Direct Costs</w:t>
      </w:r>
    </w:p>
    <w:p w:rsidR="009653BB" w:rsidRPr="00EE23EE" w:rsidRDefault="009653BB" w:rsidP="009653BB">
      <w:pPr>
        <w:shd w:val="clear" w:color="auto" w:fill="FFFFFF"/>
        <w:spacing w:after="0" w:line="330" w:lineRule="atLeast"/>
        <w:ind w:left="1440"/>
        <w:rPr>
          <w:rFonts w:ascii="Arial" w:eastAsia="Times New Roman" w:hAnsi="Arial" w:cs="Arial"/>
          <w:color w:val="333333"/>
          <w:sz w:val="24"/>
          <w:szCs w:val="24"/>
        </w:rPr>
      </w:pPr>
      <w:r w:rsidRPr="00EE23EE">
        <w:rPr>
          <w:rFonts w:ascii="Arial" w:eastAsia="Times New Roman" w:hAnsi="Arial" w:cs="Arial"/>
          <w:color w:val="333333"/>
          <w:sz w:val="24"/>
          <w:szCs w:val="24"/>
        </w:rPr>
        <w:t>The expense budget should include all costs for operating the academic service center including administrative expenses directly associated with operations of the facility. Expense categories include:</w:t>
      </w:r>
    </w:p>
    <w:p w:rsidR="009653BB" w:rsidRPr="00EE23EE" w:rsidRDefault="009653BB" w:rsidP="009653BB">
      <w:pPr>
        <w:numPr>
          <w:ilvl w:val="2"/>
          <w:numId w:val="1"/>
        </w:numPr>
        <w:shd w:val="clear" w:color="auto" w:fill="FFFFFF"/>
        <w:spacing w:after="0" w:line="330" w:lineRule="atLeast"/>
        <w:rPr>
          <w:rFonts w:ascii="Arial" w:eastAsia="Times New Roman" w:hAnsi="Arial" w:cs="Arial"/>
          <w:color w:val="333333"/>
          <w:sz w:val="24"/>
          <w:szCs w:val="24"/>
        </w:rPr>
      </w:pPr>
      <w:r w:rsidRPr="00EE23EE">
        <w:rPr>
          <w:rFonts w:ascii="Arial" w:eastAsia="Times New Roman" w:hAnsi="Arial" w:cs="Arial"/>
          <w:b/>
          <w:color w:val="333333"/>
          <w:sz w:val="24"/>
          <w:szCs w:val="24"/>
        </w:rPr>
        <w:t>Salaries, wages and fringe benefits</w:t>
      </w:r>
      <w:r w:rsidRPr="00EC17AE">
        <w:rPr>
          <w:rFonts w:ascii="Arial" w:eastAsia="Times New Roman" w:hAnsi="Arial" w:cs="Arial"/>
          <w:b/>
          <w:color w:val="333333"/>
          <w:sz w:val="24"/>
          <w:szCs w:val="24"/>
        </w:rPr>
        <w:t xml:space="preserve">, </w:t>
      </w:r>
      <w:r w:rsidRPr="00EC17AE">
        <w:rPr>
          <w:rFonts w:ascii="Arial" w:eastAsia="Times New Roman" w:hAnsi="Arial" w:cs="Arial"/>
          <w:color w:val="333333"/>
          <w:sz w:val="24"/>
          <w:szCs w:val="24"/>
        </w:rPr>
        <w:t>for direct personnel and administrative staff whose efforts are directly related to the service center’s activity or management should be budgeted and included in the</w:t>
      </w:r>
      <w:r w:rsidRPr="00754AF0">
        <w:rPr>
          <w:rFonts w:ascii="Arial" w:eastAsia="Times New Roman" w:hAnsi="Arial" w:cs="Arial"/>
          <w:color w:val="333333"/>
          <w:sz w:val="24"/>
          <w:szCs w:val="24"/>
        </w:rPr>
        <w:t xml:space="preserve"> rate calculation. If an individual works on more than one activity, the costs associated with that</w:t>
      </w:r>
      <w:r w:rsidRPr="004878F3">
        <w:rPr>
          <w:rFonts w:ascii="Arial" w:eastAsia="Times New Roman" w:hAnsi="Arial" w:cs="Arial"/>
          <w:color w:val="333333"/>
          <w:sz w:val="24"/>
          <w:szCs w:val="24"/>
        </w:rPr>
        <w:t xml:space="preserve"> individual must be allocated to the activities based on the effort spent. Likewise, administrative costs benefiting more than one service center activity must also be allocated. Effort reporting, a time study, or another equivalent method may be used to determine the appropriate allocation</w:t>
      </w:r>
    </w:p>
    <w:p w:rsidR="009653BB" w:rsidRPr="00EE23EE" w:rsidRDefault="009653BB" w:rsidP="009653BB">
      <w:pPr>
        <w:numPr>
          <w:ilvl w:val="2"/>
          <w:numId w:val="1"/>
        </w:numPr>
        <w:shd w:val="clear" w:color="auto" w:fill="FFFFFF"/>
        <w:spacing w:after="0" w:line="330" w:lineRule="atLeast"/>
        <w:rPr>
          <w:rFonts w:ascii="Arial" w:eastAsia="Times New Roman" w:hAnsi="Arial" w:cs="Arial"/>
          <w:color w:val="333333"/>
          <w:sz w:val="24"/>
          <w:szCs w:val="24"/>
        </w:rPr>
      </w:pPr>
      <w:r w:rsidRPr="00EE23EE">
        <w:rPr>
          <w:rFonts w:ascii="Arial" w:eastAsia="Times New Roman" w:hAnsi="Arial" w:cs="Arial"/>
          <w:b/>
          <w:color w:val="333333"/>
          <w:sz w:val="24"/>
          <w:szCs w:val="24"/>
        </w:rPr>
        <w:t>Materials and supplies</w:t>
      </w:r>
      <w:r w:rsidRPr="00EC17AE">
        <w:rPr>
          <w:rFonts w:ascii="Arial" w:eastAsia="Times New Roman" w:hAnsi="Arial" w:cs="Arial"/>
          <w:b/>
          <w:color w:val="333333"/>
          <w:sz w:val="24"/>
          <w:szCs w:val="24"/>
        </w:rPr>
        <w:t>,</w:t>
      </w:r>
      <w:r>
        <w:rPr>
          <w:rFonts w:ascii="Arial" w:eastAsia="Times New Roman" w:hAnsi="Arial" w:cs="Arial"/>
          <w:b/>
          <w:color w:val="333333"/>
          <w:sz w:val="24"/>
          <w:szCs w:val="24"/>
        </w:rPr>
        <w:t xml:space="preserve"> </w:t>
      </w:r>
      <w:r w:rsidRPr="00EE23EE">
        <w:rPr>
          <w:rFonts w:ascii="Arial" w:eastAsia="Times New Roman" w:hAnsi="Arial" w:cs="Arial"/>
          <w:color w:val="333333"/>
          <w:sz w:val="24"/>
          <w:szCs w:val="24"/>
        </w:rPr>
        <w:t xml:space="preserve">needed to operate the service center are allowable and should be included in the rate calculation. These expenses must be included in the financial analysis for the fiscal year in which they are used. If excess materials or supplies are purchased during the fiscal year, the service center should exclude these costs from the rate calculation. If material, the inventory balance may be booked as part of the year end closing process. Please contact the </w:t>
      </w:r>
      <w:r w:rsidR="0056556E">
        <w:rPr>
          <w:rFonts w:ascii="Arial" w:eastAsia="Times New Roman" w:hAnsi="Arial" w:cs="Arial"/>
          <w:color w:val="333333"/>
          <w:sz w:val="24"/>
          <w:szCs w:val="24"/>
        </w:rPr>
        <w:t>u</w:t>
      </w:r>
      <w:r>
        <w:rPr>
          <w:rFonts w:ascii="Arial" w:eastAsia="Times New Roman" w:hAnsi="Arial" w:cs="Arial"/>
          <w:color w:val="333333"/>
          <w:sz w:val="24"/>
          <w:szCs w:val="24"/>
        </w:rPr>
        <w:t xml:space="preserve">niversity </w:t>
      </w:r>
      <w:r w:rsidR="0056556E">
        <w:rPr>
          <w:rFonts w:ascii="Arial" w:eastAsia="Times New Roman" w:hAnsi="Arial" w:cs="Arial"/>
          <w:color w:val="333333"/>
          <w:sz w:val="24"/>
          <w:szCs w:val="24"/>
        </w:rPr>
        <w:t>c</w:t>
      </w:r>
      <w:r w:rsidRPr="00EE23EE">
        <w:rPr>
          <w:rFonts w:ascii="Arial" w:eastAsia="Times New Roman" w:hAnsi="Arial" w:cs="Arial"/>
          <w:color w:val="333333"/>
          <w:sz w:val="24"/>
          <w:szCs w:val="24"/>
        </w:rPr>
        <w:t xml:space="preserve">ontroller’s </w:t>
      </w:r>
      <w:r w:rsidR="0056556E">
        <w:rPr>
          <w:rFonts w:ascii="Arial" w:eastAsia="Times New Roman" w:hAnsi="Arial" w:cs="Arial"/>
          <w:color w:val="333333"/>
          <w:sz w:val="24"/>
          <w:szCs w:val="24"/>
        </w:rPr>
        <w:t>o</w:t>
      </w:r>
      <w:r w:rsidRPr="00EE23EE">
        <w:rPr>
          <w:rFonts w:ascii="Arial" w:eastAsia="Times New Roman" w:hAnsi="Arial" w:cs="Arial"/>
          <w:color w:val="333333"/>
          <w:sz w:val="24"/>
          <w:szCs w:val="24"/>
        </w:rPr>
        <w:t>ffice for assistance with recording and adjusting inventory balances.</w:t>
      </w:r>
    </w:p>
    <w:p w:rsidR="009653BB" w:rsidRPr="00EE23EE" w:rsidRDefault="009653BB" w:rsidP="009653BB">
      <w:pPr>
        <w:numPr>
          <w:ilvl w:val="2"/>
          <w:numId w:val="1"/>
        </w:numPr>
        <w:shd w:val="clear" w:color="auto" w:fill="FFFFFF"/>
        <w:spacing w:after="0" w:line="330" w:lineRule="atLeast"/>
        <w:rPr>
          <w:rFonts w:ascii="Arial" w:eastAsia="Times New Roman" w:hAnsi="Arial" w:cs="Arial"/>
          <w:b/>
          <w:color w:val="333333"/>
          <w:sz w:val="24"/>
          <w:szCs w:val="24"/>
        </w:rPr>
      </w:pPr>
      <w:r w:rsidRPr="00EE23EE">
        <w:rPr>
          <w:rFonts w:ascii="Arial" w:eastAsia="Times New Roman" w:hAnsi="Arial" w:cs="Arial"/>
          <w:b/>
          <w:color w:val="333333"/>
          <w:sz w:val="24"/>
          <w:szCs w:val="24"/>
        </w:rPr>
        <w:t>Maintenance and repair, including equipment maintenance agreements</w:t>
      </w:r>
    </w:p>
    <w:p w:rsidR="009653BB" w:rsidRPr="00EE23EE" w:rsidRDefault="009653BB" w:rsidP="009653BB">
      <w:pPr>
        <w:numPr>
          <w:ilvl w:val="2"/>
          <w:numId w:val="1"/>
        </w:numPr>
        <w:shd w:val="clear" w:color="auto" w:fill="FFFFFF"/>
        <w:spacing w:after="0" w:line="330" w:lineRule="atLeast"/>
        <w:rPr>
          <w:rFonts w:ascii="Arial" w:eastAsia="Times New Roman" w:hAnsi="Arial" w:cs="Arial"/>
          <w:b/>
          <w:color w:val="333333"/>
          <w:sz w:val="24"/>
          <w:szCs w:val="24"/>
        </w:rPr>
      </w:pPr>
      <w:r w:rsidRPr="00EE23EE">
        <w:rPr>
          <w:rFonts w:ascii="Arial" w:eastAsia="Times New Roman" w:hAnsi="Arial" w:cs="Arial"/>
          <w:b/>
          <w:color w:val="333333"/>
          <w:sz w:val="24"/>
          <w:szCs w:val="24"/>
        </w:rPr>
        <w:t>Rentals and leases, including operating equipment leases</w:t>
      </w:r>
      <w:r w:rsidRPr="00EC17AE">
        <w:rPr>
          <w:rFonts w:ascii="Arial" w:eastAsia="Times New Roman" w:hAnsi="Arial" w:cs="Arial"/>
          <w:b/>
          <w:color w:val="333333"/>
          <w:sz w:val="24"/>
          <w:szCs w:val="24"/>
        </w:rPr>
        <w:t xml:space="preserve">, </w:t>
      </w:r>
      <w:r w:rsidRPr="00EE23EE">
        <w:rPr>
          <w:rFonts w:ascii="Arial" w:eastAsia="Times New Roman" w:hAnsi="Arial" w:cs="Arial"/>
          <w:color w:val="333333"/>
          <w:sz w:val="24"/>
          <w:szCs w:val="24"/>
        </w:rPr>
        <w:t>and other professional services are allowable and should be included in the rate calculation for the fiscal year in which they were incurred. The only exception is that capital leases cannot be charged directly to service centers.</w:t>
      </w:r>
    </w:p>
    <w:p w:rsidR="009653BB" w:rsidRPr="00EE23EE" w:rsidRDefault="009653BB" w:rsidP="009653BB">
      <w:pPr>
        <w:numPr>
          <w:ilvl w:val="2"/>
          <w:numId w:val="1"/>
        </w:numPr>
        <w:shd w:val="clear" w:color="auto" w:fill="FFFFFF"/>
        <w:spacing w:after="0" w:line="330" w:lineRule="atLeast"/>
        <w:rPr>
          <w:rFonts w:ascii="Arial" w:eastAsia="Times New Roman" w:hAnsi="Arial" w:cs="Arial"/>
          <w:b/>
          <w:color w:val="333333"/>
          <w:sz w:val="24"/>
          <w:szCs w:val="24"/>
        </w:rPr>
      </w:pPr>
      <w:r w:rsidRPr="00EE23EE">
        <w:rPr>
          <w:rFonts w:ascii="Arial" w:eastAsia="Times New Roman" w:hAnsi="Arial" w:cs="Arial"/>
          <w:b/>
          <w:color w:val="333333"/>
          <w:sz w:val="24"/>
          <w:szCs w:val="24"/>
        </w:rPr>
        <w:t>Travel &amp; conferences</w:t>
      </w:r>
      <w:r w:rsidRPr="00EC17AE">
        <w:rPr>
          <w:rFonts w:ascii="Arial" w:eastAsia="Times New Roman" w:hAnsi="Arial" w:cs="Arial"/>
          <w:b/>
          <w:color w:val="333333"/>
          <w:sz w:val="24"/>
          <w:szCs w:val="24"/>
        </w:rPr>
        <w:t xml:space="preserve">, </w:t>
      </w:r>
      <w:r w:rsidRPr="00EE23EE">
        <w:rPr>
          <w:rFonts w:ascii="Arial" w:eastAsia="Times New Roman" w:hAnsi="Arial" w:cs="Arial"/>
          <w:color w:val="333333"/>
          <w:sz w:val="24"/>
          <w:szCs w:val="24"/>
        </w:rPr>
        <w:t>related directly to and necessary for the operation of the service center (i.e. conferences, meetings, local travel) are allowable.</w:t>
      </w:r>
    </w:p>
    <w:p w:rsidR="009653BB" w:rsidRPr="00EE23EE" w:rsidRDefault="009653BB" w:rsidP="009653BB">
      <w:pPr>
        <w:numPr>
          <w:ilvl w:val="2"/>
          <w:numId w:val="1"/>
        </w:numPr>
        <w:shd w:val="clear" w:color="auto" w:fill="FFFFFF"/>
        <w:spacing w:after="0" w:line="330" w:lineRule="atLeast"/>
        <w:rPr>
          <w:rFonts w:ascii="Arial" w:eastAsia="Times New Roman" w:hAnsi="Arial" w:cs="Arial"/>
          <w:b/>
          <w:color w:val="333333"/>
          <w:sz w:val="24"/>
          <w:szCs w:val="24"/>
        </w:rPr>
      </w:pPr>
      <w:r w:rsidRPr="00EE23EE">
        <w:rPr>
          <w:rFonts w:ascii="Arial" w:eastAsia="Times New Roman" w:hAnsi="Arial" w:cs="Arial"/>
          <w:b/>
          <w:color w:val="333333"/>
          <w:sz w:val="24"/>
          <w:szCs w:val="24"/>
        </w:rPr>
        <w:t>Purchased services/professional fees</w:t>
      </w:r>
    </w:p>
    <w:p w:rsidR="009653BB" w:rsidRDefault="009653BB" w:rsidP="009653BB">
      <w:pPr>
        <w:numPr>
          <w:ilvl w:val="2"/>
          <w:numId w:val="1"/>
        </w:numPr>
        <w:shd w:val="clear" w:color="auto" w:fill="FFFFFF"/>
        <w:spacing w:after="0" w:line="330" w:lineRule="atLeast"/>
        <w:rPr>
          <w:rFonts w:ascii="Arial" w:eastAsia="Times New Roman" w:hAnsi="Arial" w:cs="Arial"/>
          <w:b/>
          <w:color w:val="333333"/>
          <w:sz w:val="24"/>
          <w:szCs w:val="24"/>
        </w:rPr>
      </w:pPr>
      <w:r w:rsidRPr="00EE23EE">
        <w:rPr>
          <w:rFonts w:ascii="Arial" w:eastAsia="Times New Roman" w:hAnsi="Arial" w:cs="Arial"/>
          <w:b/>
          <w:color w:val="333333"/>
          <w:sz w:val="24"/>
          <w:szCs w:val="24"/>
        </w:rPr>
        <w:t>Interest paid on externally debt-funded equipment used by the service center</w:t>
      </w:r>
    </w:p>
    <w:p w:rsidR="009653BB" w:rsidRPr="00EC17AE" w:rsidRDefault="009653BB" w:rsidP="009653BB">
      <w:pPr>
        <w:numPr>
          <w:ilvl w:val="2"/>
          <w:numId w:val="1"/>
        </w:numPr>
        <w:shd w:val="clear" w:color="auto" w:fill="FFFFFF"/>
        <w:spacing w:after="0" w:line="330" w:lineRule="atLeast"/>
        <w:rPr>
          <w:rFonts w:ascii="Arial" w:eastAsia="Times New Roman" w:hAnsi="Arial" w:cs="Arial"/>
          <w:b/>
          <w:color w:val="333333"/>
          <w:sz w:val="24"/>
          <w:szCs w:val="24"/>
        </w:rPr>
      </w:pPr>
      <w:r w:rsidRPr="00EC17AE">
        <w:rPr>
          <w:rFonts w:ascii="Arial" w:eastAsia="Times New Roman" w:hAnsi="Arial" w:cs="Arial"/>
          <w:b/>
          <w:color w:val="333333"/>
          <w:sz w:val="24"/>
          <w:szCs w:val="24"/>
        </w:rPr>
        <w:t xml:space="preserve">Other Direct Costs, </w:t>
      </w:r>
      <w:r w:rsidRPr="00EE23EE">
        <w:rPr>
          <w:rFonts w:ascii="Arial" w:eastAsia="Times New Roman" w:hAnsi="Arial" w:cs="Arial"/>
          <w:color w:val="333333"/>
          <w:sz w:val="24"/>
          <w:szCs w:val="24"/>
        </w:rPr>
        <w:t>not identified above are allowable to the extent that they relate directly to and are necessary for the operation of the service center and are not specifically</w:t>
      </w:r>
      <w:r>
        <w:rPr>
          <w:rFonts w:ascii="Arial" w:eastAsia="Times New Roman" w:hAnsi="Arial" w:cs="Arial"/>
          <w:color w:val="333333"/>
          <w:sz w:val="24"/>
          <w:szCs w:val="24"/>
        </w:rPr>
        <w:t xml:space="preserve"> </w:t>
      </w:r>
      <w:r w:rsidRPr="00EE23EE">
        <w:rPr>
          <w:rFonts w:ascii="Arial" w:eastAsia="Times New Roman" w:hAnsi="Arial" w:cs="Arial"/>
          <w:color w:val="333333"/>
          <w:sz w:val="24"/>
          <w:szCs w:val="24"/>
        </w:rPr>
        <w:t>unallowable under</w:t>
      </w:r>
    </w:p>
    <w:p w:rsidR="009653BB" w:rsidRDefault="009653BB" w:rsidP="009653BB">
      <w:pPr>
        <w:numPr>
          <w:ilvl w:val="2"/>
          <w:numId w:val="1"/>
        </w:numPr>
        <w:shd w:val="clear" w:color="auto" w:fill="FFFFFF"/>
        <w:spacing w:after="0" w:line="330" w:lineRule="atLeast"/>
        <w:rPr>
          <w:rFonts w:ascii="Arial" w:eastAsia="Times New Roman" w:hAnsi="Arial" w:cs="Arial"/>
          <w:color w:val="333333"/>
          <w:sz w:val="24"/>
          <w:szCs w:val="24"/>
        </w:rPr>
      </w:pPr>
      <w:r w:rsidRPr="00EC17AE">
        <w:rPr>
          <w:rFonts w:ascii="Arial" w:eastAsia="Times New Roman" w:hAnsi="Arial" w:cs="Arial"/>
          <w:b/>
          <w:color w:val="333333"/>
          <w:sz w:val="24"/>
          <w:szCs w:val="24"/>
        </w:rPr>
        <w:lastRenderedPageBreak/>
        <w:t xml:space="preserve">Indirect Costs, </w:t>
      </w:r>
      <w:r w:rsidRPr="00EE23EE">
        <w:rPr>
          <w:rFonts w:ascii="Arial" w:eastAsia="Times New Roman" w:hAnsi="Arial" w:cs="Arial"/>
          <w:color w:val="333333"/>
          <w:sz w:val="24"/>
          <w:szCs w:val="24"/>
        </w:rPr>
        <w:t xml:space="preserve">(Facilities and Administration, or F&amp;A) and </w:t>
      </w:r>
      <w:r>
        <w:rPr>
          <w:rFonts w:ascii="Arial" w:eastAsia="Times New Roman" w:hAnsi="Arial" w:cs="Arial"/>
          <w:color w:val="333333"/>
          <w:sz w:val="24"/>
          <w:szCs w:val="24"/>
        </w:rPr>
        <w:t>a</w:t>
      </w:r>
      <w:r w:rsidRPr="00EE23EE">
        <w:rPr>
          <w:rFonts w:ascii="Arial" w:eastAsia="Times New Roman" w:hAnsi="Arial" w:cs="Arial"/>
          <w:color w:val="333333"/>
          <w:sz w:val="24"/>
          <w:szCs w:val="24"/>
        </w:rPr>
        <w:t>dditional fees recovered from external users of service centers is allowable.</w:t>
      </w:r>
    </w:p>
    <w:p w:rsidR="009653BB" w:rsidRPr="00BA3A01" w:rsidRDefault="009653BB" w:rsidP="009653BB">
      <w:pPr>
        <w:pStyle w:val="ListParagraph"/>
        <w:numPr>
          <w:ilvl w:val="2"/>
          <w:numId w:val="1"/>
        </w:numPr>
        <w:shd w:val="clear" w:color="auto" w:fill="FFFFFF"/>
        <w:spacing w:after="0" w:line="330" w:lineRule="atLeast"/>
        <w:rPr>
          <w:rFonts w:ascii="Arial" w:eastAsia="Times New Roman" w:hAnsi="Arial" w:cs="Arial"/>
          <w:color w:val="333333"/>
          <w:sz w:val="24"/>
          <w:szCs w:val="24"/>
        </w:rPr>
      </w:pPr>
      <w:r w:rsidRPr="00BA3A01">
        <w:rPr>
          <w:rFonts w:ascii="Arial" w:eastAsia="Times New Roman" w:hAnsi="Arial" w:cs="Arial"/>
          <w:b/>
          <w:color w:val="333333"/>
          <w:sz w:val="24"/>
          <w:szCs w:val="24"/>
        </w:rPr>
        <w:t xml:space="preserve">Un-allowable Costs, </w:t>
      </w:r>
      <w:r w:rsidRPr="00BA3A01">
        <w:rPr>
          <w:rFonts w:ascii="Arial" w:eastAsia="Times New Roman" w:hAnsi="Arial" w:cs="Arial"/>
          <w:color w:val="333333"/>
          <w:sz w:val="24"/>
          <w:szCs w:val="24"/>
        </w:rPr>
        <w:t xml:space="preserve">Unallowable costs must be excluded from the budget as well as the service center rate calculation and may not be charged to Service Center users. For a complete list of unallowable costs, refer to </w:t>
      </w:r>
      <w:r w:rsidRPr="00BA3A01">
        <w:rPr>
          <w:rFonts w:ascii="Arial" w:hAnsi="Arial" w:cs="Arial"/>
          <w:color w:val="000000"/>
          <w:sz w:val="24"/>
          <w:szCs w:val="24"/>
        </w:rPr>
        <w:t>OMB Uniform Guidance (§200.420 through §200.475). </w:t>
      </w:r>
      <w:r w:rsidRPr="00BA3A01">
        <w:rPr>
          <w:rFonts w:ascii="Arial" w:eastAsia="Times New Roman" w:hAnsi="Arial" w:cs="Arial"/>
          <w:color w:val="333333"/>
          <w:sz w:val="24"/>
          <w:szCs w:val="24"/>
        </w:rPr>
        <w:t xml:space="preserve"> </w:t>
      </w:r>
    </w:p>
    <w:p w:rsidR="00645DDC" w:rsidRDefault="0080069F"/>
    <w:p w:rsidR="00494BFB" w:rsidRDefault="00494BFB" w:rsidP="00D671A1">
      <w:pPr>
        <w:pStyle w:val="Heading2"/>
        <w:ind w:left="360"/>
        <w:rPr>
          <w:rFonts w:ascii="Arial" w:hAnsi="Arial" w:cs="Arial"/>
          <w:sz w:val="27"/>
          <w:szCs w:val="27"/>
        </w:rPr>
      </w:pPr>
      <w:bookmarkStart w:id="2" w:name="_Toc14265142"/>
      <w:bookmarkStart w:id="3" w:name="_Toc34646508"/>
    </w:p>
    <w:p w:rsidR="009653BB" w:rsidRPr="00D671A1" w:rsidRDefault="009653BB" w:rsidP="00D671A1">
      <w:pPr>
        <w:pStyle w:val="Heading2"/>
        <w:ind w:left="360"/>
        <w:rPr>
          <w:rFonts w:ascii="Arial" w:hAnsi="Arial" w:cs="Arial"/>
          <w:b w:val="0"/>
          <w:bCs w:val="0"/>
          <w:sz w:val="27"/>
          <w:szCs w:val="27"/>
        </w:rPr>
      </w:pPr>
      <w:r w:rsidRPr="00D671A1">
        <w:rPr>
          <w:rFonts w:ascii="Arial" w:hAnsi="Arial" w:cs="Arial"/>
          <w:sz w:val="27"/>
          <w:szCs w:val="27"/>
        </w:rPr>
        <w:t>Rate Development</w:t>
      </w:r>
      <w:bookmarkEnd w:id="2"/>
      <w:bookmarkEnd w:id="3"/>
    </w:p>
    <w:p w:rsidR="009653BB" w:rsidRPr="00EE23EE" w:rsidRDefault="009653BB"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4"/>
        </w:rPr>
      </w:pPr>
      <w:bookmarkStart w:id="4" w:name="_Toc14265143"/>
      <w:r w:rsidRPr="00EE23EE">
        <w:rPr>
          <w:rFonts w:ascii="Arial" w:eastAsia="Times New Roman" w:hAnsi="Arial" w:cs="Arial"/>
          <w:bCs/>
          <w:color w:val="333333"/>
          <w:sz w:val="24"/>
          <w:szCs w:val="24"/>
        </w:rPr>
        <w:t xml:space="preserve">Local managing units are responsible for ensuring that service center rates </w:t>
      </w:r>
      <w:r w:rsidRPr="00EE23EE">
        <w:rPr>
          <w:rFonts w:ascii="Arial" w:eastAsia="Times New Roman" w:hAnsi="Arial" w:cs="Arial"/>
          <w:color w:val="333333"/>
          <w:sz w:val="24"/>
          <w:szCs w:val="24"/>
        </w:rPr>
        <w:t>comply</w:t>
      </w:r>
      <w:r w:rsidRPr="00EE23EE">
        <w:rPr>
          <w:rFonts w:ascii="Arial" w:eastAsia="Times New Roman" w:hAnsi="Arial" w:cs="Arial"/>
          <w:bCs/>
          <w:color w:val="333333"/>
          <w:sz w:val="24"/>
          <w:szCs w:val="24"/>
        </w:rPr>
        <w:t xml:space="preserve"> with the guidance in the Academic Service Center policy and this manual, and are submitted </w:t>
      </w:r>
      <w:r w:rsidRPr="009E34B5">
        <w:rPr>
          <w:rFonts w:ascii="Arial" w:eastAsia="Times New Roman" w:hAnsi="Arial" w:cs="Arial"/>
          <w:color w:val="333333"/>
          <w:sz w:val="24"/>
          <w:szCs w:val="24"/>
        </w:rPr>
        <w:t>annually</w:t>
      </w:r>
      <w:r w:rsidRPr="00EE23EE">
        <w:rPr>
          <w:rFonts w:ascii="Arial" w:eastAsia="Times New Roman" w:hAnsi="Arial" w:cs="Arial"/>
          <w:bCs/>
          <w:color w:val="333333"/>
          <w:sz w:val="24"/>
          <w:szCs w:val="24"/>
        </w:rPr>
        <w:t xml:space="preserve"> to the </w:t>
      </w:r>
      <w:r w:rsidR="0056556E">
        <w:rPr>
          <w:rFonts w:ascii="Arial" w:eastAsia="Times New Roman" w:hAnsi="Arial" w:cs="Arial"/>
          <w:bCs/>
          <w:color w:val="333333"/>
          <w:sz w:val="24"/>
          <w:szCs w:val="24"/>
        </w:rPr>
        <w:t>u</w:t>
      </w:r>
      <w:r>
        <w:rPr>
          <w:rFonts w:ascii="Arial" w:eastAsia="Times New Roman" w:hAnsi="Arial" w:cs="Arial"/>
          <w:bCs/>
          <w:color w:val="333333"/>
          <w:sz w:val="24"/>
          <w:szCs w:val="24"/>
        </w:rPr>
        <w:t xml:space="preserve">niversity’s </w:t>
      </w:r>
      <w:r w:rsidR="0056556E">
        <w:rPr>
          <w:rFonts w:ascii="Arial" w:eastAsia="Times New Roman" w:hAnsi="Arial" w:cs="Arial"/>
          <w:bCs/>
          <w:color w:val="333333"/>
          <w:sz w:val="24"/>
          <w:szCs w:val="24"/>
        </w:rPr>
        <w:t>c</w:t>
      </w:r>
      <w:r w:rsidRPr="00EE23EE">
        <w:rPr>
          <w:rFonts w:ascii="Arial" w:eastAsia="Times New Roman" w:hAnsi="Arial" w:cs="Arial"/>
          <w:bCs/>
          <w:color w:val="333333"/>
          <w:sz w:val="24"/>
          <w:szCs w:val="24"/>
        </w:rPr>
        <w:t xml:space="preserve">ontroller’s </w:t>
      </w:r>
      <w:r w:rsidR="0056556E">
        <w:rPr>
          <w:rFonts w:ascii="Arial" w:eastAsia="Times New Roman" w:hAnsi="Arial" w:cs="Arial"/>
          <w:bCs/>
          <w:color w:val="333333"/>
          <w:sz w:val="24"/>
          <w:szCs w:val="24"/>
        </w:rPr>
        <w:t>o</w:t>
      </w:r>
      <w:r w:rsidRPr="00EE23EE">
        <w:rPr>
          <w:rFonts w:ascii="Arial" w:eastAsia="Times New Roman" w:hAnsi="Arial" w:cs="Arial"/>
          <w:bCs/>
          <w:color w:val="333333"/>
          <w:sz w:val="24"/>
          <w:szCs w:val="24"/>
        </w:rPr>
        <w:t xml:space="preserve">ffice for review and approval by </w:t>
      </w:r>
      <w:r w:rsidRPr="007B17E8">
        <w:rPr>
          <w:rFonts w:ascii="Arial" w:eastAsia="Times New Roman" w:hAnsi="Arial" w:cs="Arial"/>
          <w:bCs/>
          <w:color w:val="333333"/>
          <w:sz w:val="24"/>
          <w:szCs w:val="24"/>
          <w:u w:val="single"/>
        </w:rPr>
        <w:t>September 30th</w:t>
      </w:r>
      <w:r w:rsidRPr="00EE23EE">
        <w:rPr>
          <w:rFonts w:ascii="Arial" w:eastAsia="Times New Roman" w:hAnsi="Arial" w:cs="Arial"/>
          <w:bCs/>
          <w:color w:val="333333"/>
          <w:sz w:val="24"/>
          <w:szCs w:val="24"/>
        </w:rPr>
        <w:t xml:space="preserve">. Rates should be calculated using the </w:t>
      </w:r>
      <w:bookmarkStart w:id="5" w:name="_GoBack"/>
      <w:r w:rsidRPr="0080069F">
        <w:rPr>
          <w:rFonts w:ascii="Arial" w:eastAsia="Times New Roman" w:hAnsi="Arial" w:cs="Arial"/>
          <w:bCs/>
          <w:sz w:val="24"/>
          <w:szCs w:val="24"/>
        </w:rPr>
        <w:t>Service Center Annual Rate Proposal Form.</w:t>
      </w:r>
      <w:bookmarkEnd w:id="4"/>
      <w:r w:rsidRPr="0080069F">
        <w:rPr>
          <w:rFonts w:ascii="Arial" w:eastAsia="Times New Roman" w:hAnsi="Arial" w:cs="Arial"/>
          <w:bCs/>
          <w:sz w:val="24"/>
          <w:szCs w:val="24"/>
        </w:rPr>
        <w:t xml:space="preserve"> </w:t>
      </w:r>
      <w:bookmarkEnd w:id="5"/>
    </w:p>
    <w:p w:rsidR="009653BB" w:rsidRDefault="009653BB"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4"/>
        </w:rPr>
      </w:pPr>
      <w:bookmarkStart w:id="6" w:name="_Toc14265144"/>
      <w:r w:rsidRPr="00741933">
        <w:rPr>
          <w:rFonts w:ascii="Arial" w:eastAsia="Times New Roman" w:hAnsi="Arial" w:cs="Arial"/>
          <w:bCs/>
          <w:color w:val="333333"/>
          <w:sz w:val="24"/>
          <w:szCs w:val="24"/>
        </w:rPr>
        <w:t>New service centers</w:t>
      </w:r>
      <w:r>
        <w:rPr>
          <w:rFonts w:ascii="Arial" w:eastAsia="Times New Roman" w:hAnsi="Arial" w:cs="Arial"/>
          <w:bCs/>
          <w:color w:val="333333"/>
          <w:sz w:val="24"/>
          <w:szCs w:val="24"/>
        </w:rPr>
        <w:t xml:space="preserve"> should project sales volume and set their rate to cover the projected operating expenses. Startup costs do not have to be recovered the first year, they may be amortized over 2-3 years or provided as subsidy by a department.</w:t>
      </w:r>
    </w:p>
    <w:p w:rsidR="009653BB" w:rsidRDefault="009653BB"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4"/>
        </w:rPr>
      </w:pPr>
      <w:r w:rsidRPr="00CC31B8">
        <w:rPr>
          <w:rFonts w:ascii="Arial" w:eastAsia="Times New Roman" w:hAnsi="Arial" w:cs="Arial"/>
          <w:b/>
          <w:bCs/>
          <w:color w:val="333333"/>
          <w:sz w:val="24"/>
          <w:szCs w:val="24"/>
        </w:rPr>
        <w:t>General Rate Calculation Steps:</w:t>
      </w:r>
      <w:r>
        <w:rPr>
          <w:rFonts w:ascii="Arial" w:eastAsia="Times New Roman" w:hAnsi="Arial" w:cs="Arial"/>
          <w:bCs/>
          <w:noProof/>
          <w:color w:val="333333"/>
          <w:sz w:val="24"/>
          <w:szCs w:val="24"/>
        </w:rPr>
        <w:drawing>
          <wp:inline distT="0" distB="0" distL="0" distR="0" wp14:anchorId="1F56E754" wp14:editId="63F534FD">
            <wp:extent cx="5486400" cy="17526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653BB" w:rsidRPr="00EE23EE" w:rsidRDefault="009653BB"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4"/>
        </w:rPr>
      </w:pPr>
      <w:r w:rsidRPr="00EE23EE">
        <w:rPr>
          <w:rFonts w:ascii="Arial" w:eastAsia="Times New Roman" w:hAnsi="Arial" w:cs="Arial"/>
          <w:bCs/>
          <w:color w:val="333333"/>
          <w:sz w:val="24"/>
          <w:szCs w:val="24"/>
        </w:rPr>
        <w:t>A service center rate is the cost per billable unit of goods or services sold in order to recover the expenses of the service center and achieve a breakeven financial position. A billable unit is the measurement used to identify the specific goods and/or services provided by a service center. The use of an appropriate billable unit is essential to ensuring that users are charged only their fair share of the actual costs of operating the service center. Examples of billable units include:</w:t>
      </w:r>
      <w:bookmarkEnd w:id="6"/>
    </w:p>
    <w:p w:rsidR="009653BB" w:rsidRPr="00CC31B8" w:rsidRDefault="009653BB" w:rsidP="009653BB">
      <w:pPr>
        <w:pStyle w:val="ListParagraph"/>
        <w:numPr>
          <w:ilvl w:val="0"/>
          <w:numId w:val="4"/>
        </w:numPr>
        <w:shd w:val="clear" w:color="auto" w:fill="FFFFFF"/>
        <w:spacing w:before="100" w:beforeAutospacing="1" w:after="100" w:afterAutospacing="1" w:line="330" w:lineRule="atLeast"/>
        <w:rPr>
          <w:rFonts w:ascii="Arial" w:eastAsia="Times New Roman" w:hAnsi="Arial" w:cs="Arial"/>
          <w:bCs/>
          <w:color w:val="333333"/>
          <w:sz w:val="24"/>
          <w:szCs w:val="24"/>
        </w:rPr>
      </w:pPr>
      <w:bookmarkStart w:id="7" w:name="_Toc14265145"/>
      <w:r w:rsidRPr="00CC31B8">
        <w:rPr>
          <w:rFonts w:ascii="Arial" w:eastAsia="Times New Roman" w:hAnsi="Arial" w:cs="Arial"/>
          <w:bCs/>
          <w:color w:val="333333"/>
          <w:sz w:val="24"/>
          <w:szCs w:val="24"/>
        </w:rPr>
        <w:lastRenderedPageBreak/>
        <w:t>Labor hours or machine hours</w:t>
      </w:r>
      <w:bookmarkEnd w:id="7"/>
    </w:p>
    <w:p w:rsidR="009653BB" w:rsidRPr="00CC31B8" w:rsidRDefault="009653BB" w:rsidP="009653BB">
      <w:pPr>
        <w:pStyle w:val="ListParagraph"/>
        <w:numPr>
          <w:ilvl w:val="0"/>
          <w:numId w:val="4"/>
        </w:numPr>
        <w:shd w:val="clear" w:color="auto" w:fill="FFFFFF"/>
        <w:spacing w:before="100" w:beforeAutospacing="1" w:after="100" w:afterAutospacing="1" w:line="330" w:lineRule="atLeast"/>
        <w:rPr>
          <w:rFonts w:ascii="Arial" w:eastAsia="Times New Roman" w:hAnsi="Arial" w:cs="Arial"/>
          <w:bCs/>
          <w:color w:val="333333"/>
          <w:sz w:val="24"/>
          <w:szCs w:val="24"/>
        </w:rPr>
      </w:pPr>
      <w:bookmarkStart w:id="8" w:name="_Toc14265146"/>
      <w:r w:rsidRPr="00CC31B8">
        <w:rPr>
          <w:rFonts w:ascii="Arial" w:eastAsia="Times New Roman" w:hAnsi="Arial" w:cs="Arial"/>
          <w:bCs/>
          <w:color w:val="333333"/>
          <w:sz w:val="24"/>
          <w:szCs w:val="24"/>
        </w:rPr>
        <w:t>Unit cost</w:t>
      </w:r>
      <w:bookmarkEnd w:id="8"/>
    </w:p>
    <w:p w:rsidR="009653BB" w:rsidRPr="00CC31B8" w:rsidRDefault="009653BB" w:rsidP="009653BB">
      <w:pPr>
        <w:pStyle w:val="ListParagraph"/>
        <w:numPr>
          <w:ilvl w:val="0"/>
          <w:numId w:val="4"/>
        </w:numPr>
        <w:shd w:val="clear" w:color="auto" w:fill="FFFFFF"/>
        <w:spacing w:before="100" w:beforeAutospacing="1" w:after="100" w:afterAutospacing="1" w:line="330" w:lineRule="atLeast"/>
        <w:rPr>
          <w:rFonts w:ascii="Arial" w:eastAsia="Times New Roman" w:hAnsi="Arial" w:cs="Arial"/>
          <w:bCs/>
          <w:color w:val="333333"/>
          <w:sz w:val="24"/>
          <w:szCs w:val="24"/>
        </w:rPr>
      </w:pPr>
      <w:bookmarkStart w:id="9" w:name="_Toc14265147"/>
      <w:r w:rsidRPr="00CC31B8">
        <w:rPr>
          <w:rFonts w:ascii="Arial" w:eastAsia="Times New Roman" w:hAnsi="Arial" w:cs="Arial"/>
          <w:bCs/>
          <w:color w:val="333333"/>
          <w:sz w:val="24"/>
          <w:szCs w:val="24"/>
        </w:rPr>
        <w:t>Number of samples or tests performed</w:t>
      </w:r>
      <w:bookmarkEnd w:id="9"/>
    </w:p>
    <w:p w:rsidR="009653BB" w:rsidRPr="00CC31B8" w:rsidRDefault="009653BB" w:rsidP="009653BB">
      <w:pPr>
        <w:pStyle w:val="ListParagraph"/>
        <w:numPr>
          <w:ilvl w:val="0"/>
          <w:numId w:val="4"/>
        </w:numPr>
        <w:shd w:val="clear" w:color="auto" w:fill="FFFFFF"/>
        <w:spacing w:before="100" w:beforeAutospacing="1" w:after="100" w:afterAutospacing="1" w:line="330" w:lineRule="atLeast"/>
        <w:rPr>
          <w:rFonts w:ascii="Arial" w:eastAsia="Times New Roman" w:hAnsi="Arial" w:cs="Arial"/>
          <w:bCs/>
          <w:color w:val="333333"/>
          <w:sz w:val="24"/>
          <w:szCs w:val="24"/>
        </w:rPr>
      </w:pPr>
      <w:bookmarkStart w:id="10" w:name="_Toc14265148"/>
      <w:r w:rsidRPr="00CC31B8">
        <w:rPr>
          <w:rFonts w:ascii="Arial" w:eastAsia="Times New Roman" w:hAnsi="Arial" w:cs="Arial"/>
          <w:bCs/>
          <w:color w:val="333333"/>
          <w:sz w:val="24"/>
          <w:szCs w:val="24"/>
        </w:rPr>
        <w:t>Any other unit of measurement appropriate to the type of activity</w:t>
      </w:r>
      <w:bookmarkEnd w:id="10"/>
    </w:p>
    <w:p w:rsidR="009653BB" w:rsidRPr="00EE23EE" w:rsidRDefault="009653BB"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4"/>
        </w:rPr>
      </w:pPr>
      <w:bookmarkStart w:id="11" w:name="_Toc14265149"/>
      <w:r w:rsidRPr="00EE23EE">
        <w:rPr>
          <w:rFonts w:ascii="Arial" w:eastAsia="Times New Roman" w:hAnsi="Arial" w:cs="Arial"/>
          <w:bCs/>
          <w:color w:val="333333"/>
          <w:sz w:val="24"/>
          <w:szCs w:val="24"/>
        </w:rPr>
        <w:t>Rates are based on budgeted projections of operating expenses, including a carryforward surplus/deficit, divided by projected levels of activity or revenue.</w:t>
      </w:r>
      <w:bookmarkEnd w:id="11"/>
    </w:p>
    <w:bookmarkStart w:id="12" w:name="_Toc14265150"/>
    <w:p w:rsidR="009653BB" w:rsidRPr="00EE23EE" w:rsidRDefault="0080069F"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4"/>
        </w:rPr>
      </w:pPr>
      <m:oMathPara>
        <m:oMath>
          <m:f>
            <m:fPr>
              <m:ctrlPr>
                <w:rPr>
                  <w:rFonts w:ascii="Cambria Math" w:eastAsia="Times New Roman" w:hAnsi="Cambria Math" w:cs="Arial"/>
                  <w:bCs/>
                  <w:color w:val="333333"/>
                  <w:sz w:val="24"/>
                  <w:szCs w:val="24"/>
                </w:rPr>
              </m:ctrlPr>
            </m:fPr>
            <m:num>
              <m:d>
                <m:dPr>
                  <m:ctrlPr>
                    <w:rPr>
                      <w:rFonts w:ascii="Cambria Math" w:eastAsia="Times New Roman" w:hAnsi="Cambria Math" w:cs="Arial"/>
                      <w:bCs/>
                      <w:color w:val="333333"/>
                      <w:sz w:val="24"/>
                      <w:szCs w:val="24"/>
                    </w:rPr>
                  </m:ctrlPr>
                </m:dPr>
                <m:e>
                  <m:d>
                    <m:dPr>
                      <m:ctrlPr>
                        <w:rPr>
                          <w:rFonts w:ascii="Cambria Math" w:eastAsia="Times New Roman" w:hAnsi="Cambria Math" w:cs="Arial"/>
                          <w:bCs/>
                          <w:color w:val="333333"/>
                          <w:sz w:val="24"/>
                          <w:szCs w:val="24"/>
                        </w:rPr>
                      </m:ctrlPr>
                    </m:dPr>
                    <m:e>
                      <m:r>
                        <w:rPr>
                          <w:rFonts w:ascii="Cambria Math" w:eastAsia="Times New Roman" w:hAnsi="Cambria Math" w:cs="Arial"/>
                          <w:color w:val="333333"/>
                          <w:sz w:val="24"/>
                          <w:szCs w:val="24"/>
                        </w:rPr>
                        <m:t>Budgeted</m:t>
                      </m:r>
                      <m:r>
                        <m:rPr>
                          <m:sty m:val="p"/>
                        </m:rPr>
                        <w:rPr>
                          <w:rFonts w:ascii="Cambria Math" w:eastAsia="Times New Roman" w:hAnsi="Cambria Math" w:cs="Arial"/>
                          <w:color w:val="333333"/>
                          <w:sz w:val="24"/>
                          <w:szCs w:val="24"/>
                        </w:rPr>
                        <m:t xml:space="preserve"> </m:t>
                      </m:r>
                      <m:r>
                        <w:rPr>
                          <w:rFonts w:ascii="Cambria Math" w:eastAsia="Times New Roman" w:hAnsi="Cambria Math" w:cs="Arial"/>
                          <w:color w:val="333333"/>
                          <w:sz w:val="24"/>
                          <w:szCs w:val="24"/>
                        </w:rPr>
                        <m:t>Expenses</m:t>
                      </m:r>
                    </m:e>
                  </m:d>
                  <m:r>
                    <m:rPr>
                      <m:sty m:val="p"/>
                    </m:rPr>
                    <w:rPr>
                      <w:rFonts w:ascii="Cambria Math" w:eastAsia="Times New Roman" w:hAnsi="Cambria Math" w:cs="Arial"/>
                      <w:color w:val="333333"/>
                      <w:sz w:val="24"/>
                      <w:szCs w:val="24"/>
                    </w:rPr>
                    <m:t>±</m:t>
                  </m:r>
                  <m:d>
                    <m:dPr>
                      <m:ctrlPr>
                        <w:rPr>
                          <w:rFonts w:ascii="Cambria Math" w:eastAsia="Times New Roman" w:hAnsi="Cambria Math" w:cs="Arial"/>
                          <w:bCs/>
                          <w:color w:val="333333"/>
                          <w:sz w:val="24"/>
                          <w:szCs w:val="24"/>
                        </w:rPr>
                      </m:ctrlPr>
                    </m:dPr>
                    <m:e>
                      <m:r>
                        <m:rPr>
                          <m:sty m:val="p"/>
                        </m:rPr>
                        <w:rPr>
                          <w:rFonts w:ascii="Cambria Math" w:eastAsia="Times New Roman" w:hAnsi="Cambria Math" w:cs="Arial"/>
                          <w:color w:val="333333"/>
                          <w:sz w:val="24"/>
                          <w:szCs w:val="24"/>
                        </w:rPr>
                        <m:t xml:space="preserve"> </m:t>
                      </m:r>
                      <m:r>
                        <w:rPr>
                          <w:rFonts w:ascii="Cambria Math" w:eastAsia="Times New Roman" w:hAnsi="Cambria Math" w:cs="Arial"/>
                          <w:color w:val="333333"/>
                          <w:sz w:val="24"/>
                          <w:szCs w:val="24"/>
                        </w:rPr>
                        <m:t>Cumulative</m:t>
                      </m:r>
                      <m:r>
                        <m:rPr>
                          <m:sty m:val="p"/>
                        </m:rPr>
                        <w:rPr>
                          <w:rFonts w:ascii="Cambria Math" w:eastAsia="Times New Roman" w:hAnsi="Cambria Math" w:cs="Arial"/>
                          <w:color w:val="333333"/>
                          <w:sz w:val="24"/>
                          <w:szCs w:val="24"/>
                        </w:rPr>
                        <m:t xml:space="preserve"> </m:t>
                      </m:r>
                      <m:r>
                        <w:rPr>
                          <w:rFonts w:ascii="Cambria Math" w:eastAsia="Times New Roman" w:hAnsi="Cambria Math" w:cs="Arial"/>
                          <w:color w:val="333333"/>
                          <w:sz w:val="24"/>
                          <w:szCs w:val="24"/>
                        </w:rPr>
                        <m:t>Carryforward</m:t>
                      </m:r>
                      <m:r>
                        <m:rPr>
                          <m:sty m:val="p"/>
                        </m:rPr>
                        <w:rPr>
                          <w:rFonts w:ascii="Cambria Math" w:eastAsia="Times New Roman" w:hAnsi="Cambria Math" w:cs="Arial"/>
                          <w:color w:val="333333"/>
                          <w:sz w:val="24"/>
                          <w:szCs w:val="24"/>
                        </w:rPr>
                        <m:t xml:space="preserve"> </m:t>
                      </m:r>
                      <m:r>
                        <w:rPr>
                          <w:rFonts w:ascii="Cambria Math" w:eastAsia="Times New Roman" w:hAnsi="Cambria Math" w:cs="Arial"/>
                          <w:color w:val="333333"/>
                          <w:sz w:val="24"/>
                          <w:szCs w:val="24"/>
                        </w:rPr>
                        <m:t>Surplus</m:t>
                      </m:r>
                    </m:e>
                  </m:d>
                  <m:r>
                    <m:rPr>
                      <m:sty m:val="p"/>
                    </m:rPr>
                    <w:rPr>
                      <w:rFonts w:ascii="Cambria Math" w:eastAsia="Times New Roman" w:hAnsi="Cambria Math" w:cs="Arial"/>
                      <w:color w:val="333333"/>
                      <w:sz w:val="24"/>
                      <w:szCs w:val="24"/>
                    </w:rPr>
                    <m:t>±</m:t>
                  </m:r>
                  <m:r>
                    <w:rPr>
                      <w:rFonts w:ascii="Cambria Math" w:eastAsia="Times New Roman" w:hAnsi="Cambria Math" w:cs="Arial"/>
                      <w:color w:val="333333"/>
                      <w:sz w:val="24"/>
                      <w:szCs w:val="24"/>
                    </w:rPr>
                    <m:t>Subsidy</m:t>
                  </m:r>
                </m:e>
              </m:d>
            </m:num>
            <m:den>
              <m:r>
                <w:rPr>
                  <w:rFonts w:ascii="Cambria Math" w:eastAsia="Times New Roman" w:hAnsi="Cambria Math" w:cs="Arial"/>
                  <w:color w:val="333333"/>
                  <w:sz w:val="24"/>
                  <w:szCs w:val="24"/>
                </w:rPr>
                <m:t>Billable</m:t>
              </m:r>
              <m:r>
                <m:rPr>
                  <m:sty m:val="p"/>
                </m:rPr>
                <w:rPr>
                  <w:rFonts w:ascii="Cambria Math" w:eastAsia="Times New Roman" w:hAnsi="Cambria Math" w:cs="Arial"/>
                  <w:color w:val="333333"/>
                  <w:sz w:val="24"/>
                  <w:szCs w:val="24"/>
                </w:rPr>
                <m:t xml:space="preserve"> </m:t>
              </m:r>
              <m:r>
                <w:rPr>
                  <w:rFonts w:ascii="Cambria Math" w:eastAsia="Times New Roman" w:hAnsi="Cambria Math" w:cs="Arial"/>
                  <w:color w:val="333333"/>
                  <w:sz w:val="24"/>
                  <w:szCs w:val="24"/>
                </w:rPr>
                <m:t>Units</m:t>
              </m:r>
            </m:den>
          </m:f>
        </m:oMath>
      </m:oMathPara>
      <w:bookmarkEnd w:id="12"/>
    </w:p>
    <w:p w:rsidR="009653BB" w:rsidRPr="00EE23EE" w:rsidRDefault="009653BB"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4"/>
        </w:rPr>
      </w:pPr>
      <w:bookmarkStart w:id="13" w:name="_Toc14265151"/>
      <w:r w:rsidRPr="00EE23EE">
        <w:rPr>
          <w:rFonts w:ascii="Arial" w:eastAsia="Times New Roman" w:hAnsi="Arial" w:cs="Arial"/>
          <w:bCs/>
          <w:color w:val="333333"/>
          <w:sz w:val="24"/>
          <w:szCs w:val="24"/>
        </w:rPr>
        <w:t>For example, a microscope costs approximately $100,000 per year to operate and has an estimated usage (activity level) of 1,500 hours during the year. The resulting hourly rate would be calculated as $100,000/1500 hours = $66.67 per hour. A researcher using the microscope for 4 hours would then be charged $266.68, or 4 x $66.67.</w:t>
      </w:r>
      <w:bookmarkEnd w:id="13"/>
    </w:p>
    <w:p w:rsidR="009653BB" w:rsidRPr="00EE23EE" w:rsidRDefault="009653BB"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4"/>
        </w:rPr>
      </w:pPr>
      <w:bookmarkStart w:id="14" w:name="_Toc14265152"/>
      <w:r w:rsidRPr="00EE23EE">
        <w:rPr>
          <w:rFonts w:ascii="Arial" w:eastAsia="Times New Roman" w:hAnsi="Arial" w:cs="Arial"/>
          <w:bCs/>
          <w:color w:val="333333"/>
          <w:sz w:val="24"/>
          <w:szCs w:val="24"/>
        </w:rPr>
        <w:t>Pricing that is contingent upon types or levels of usage should be developed for each discrete type of service, and there should be no cross subsidies between services.</w:t>
      </w:r>
      <w:r>
        <w:rPr>
          <w:rFonts w:ascii="Arial" w:eastAsia="Times New Roman" w:hAnsi="Arial" w:cs="Arial"/>
          <w:bCs/>
          <w:color w:val="333333"/>
          <w:sz w:val="24"/>
          <w:szCs w:val="24"/>
        </w:rPr>
        <w:t xml:space="preserve"> </w:t>
      </w:r>
      <w:r w:rsidRPr="00EE23EE">
        <w:rPr>
          <w:rFonts w:ascii="Arial" w:eastAsia="Times New Roman" w:hAnsi="Arial" w:cs="Arial"/>
          <w:bCs/>
          <w:color w:val="333333"/>
          <w:sz w:val="24"/>
          <w:szCs w:val="24"/>
        </w:rPr>
        <w:t>See Pricing of Multiple Services below.</w:t>
      </w:r>
      <w:bookmarkEnd w:id="14"/>
    </w:p>
    <w:p w:rsidR="009653BB" w:rsidRPr="00EE23EE" w:rsidRDefault="009653BB" w:rsidP="009653BB">
      <w:pPr>
        <w:numPr>
          <w:ilvl w:val="1"/>
          <w:numId w:val="3"/>
        </w:numPr>
        <w:shd w:val="clear" w:color="auto" w:fill="FFFFFF"/>
        <w:spacing w:after="0" w:line="330" w:lineRule="atLeast"/>
        <w:rPr>
          <w:rFonts w:ascii="Arial" w:hAnsi="Arial" w:cs="Arial"/>
          <w:b/>
        </w:rPr>
      </w:pPr>
      <w:bookmarkStart w:id="15" w:name="_Toc14265153"/>
      <w:r w:rsidRPr="00EE23EE">
        <w:rPr>
          <w:rFonts w:ascii="Arial" w:eastAsia="Times New Roman" w:hAnsi="Arial" w:cs="Arial"/>
          <w:b/>
          <w:color w:val="333333"/>
          <w:sz w:val="24"/>
          <w:szCs w:val="24"/>
        </w:rPr>
        <w:t>Breakeven</w:t>
      </w:r>
      <w:r w:rsidRPr="00EE23EE">
        <w:rPr>
          <w:rFonts w:ascii="Arial" w:hAnsi="Arial" w:cs="Arial"/>
          <w:b/>
        </w:rPr>
        <w:t xml:space="preserve"> Expectation</w:t>
      </w:r>
      <w:bookmarkEnd w:id="15"/>
    </w:p>
    <w:p w:rsidR="009653BB" w:rsidRPr="00EE23EE" w:rsidRDefault="009653BB" w:rsidP="009653BB">
      <w:pPr>
        <w:shd w:val="clear" w:color="auto" w:fill="FFFFFF"/>
        <w:spacing w:after="100" w:afterAutospacing="1" w:line="330" w:lineRule="atLeast"/>
        <w:ind w:left="1440"/>
        <w:rPr>
          <w:rFonts w:ascii="Arial" w:eastAsia="Times New Roman" w:hAnsi="Arial" w:cs="Arial"/>
          <w:bCs/>
          <w:color w:val="333333"/>
          <w:sz w:val="24"/>
          <w:szCs w:val="24"/>
        </w:rPr>
      </w:pPr>
      <w:bookmarkStart w:id="16" w:name="_Toc14265154"/>
      <w:r w:rsidRPr="00EE23EE">
        <w:rPr>
          <w:rFonts w:ascii="Arial" w:eastAsia="Times New Roman" w:hAnsi="Arial" w:cs="Arial"/>
          <w:bCs/>
          <w:color w:val="333333"/>
          <w:sz w:val="24"/>
          <w:szCs w:val="24"/>
        </w:rPr>
        <w:t>The break-even period is a reasonable period of time over which cumulative revenue for a service or product equals cumulative expenses. Service center billing rates should be calculated to recover the aggregate cost of a service/product over a defined period (normally one year).</w:t>
      </w:r>
      <w:bookmarkEnd w:id="16"/>
    </w:p>
    <w:p w:rsidR="009653BB" w:rsidRPr="00EE23EE" w:rsidRDefault="009653BB" w:rsidP="009653BB">
      <w:pPr>
        <w:shd w:val="clear" w:color="auto" w:fill="FFFFFF"/>
        <w:spacing w:after="100" w:afterAutospacing="1" w:line="330" w:lineRule="atLeast"/>
        <w:ind w:left="1440"/>
        <w:rPr>
          <w:rFonts w:ascii="Arial" w:eastAsia="Times New Roman" w:hAnsi="Arial" w:cs="Arial"/>
          <w:bCs/>
          <w:color w:val="333333"/>
          <w:sz w:val="24"/>
          <w:szCs w:val="24"/>
        </w:rPr>
      </w:pPr>
      <w:bookmarkStart w:id="17" w:name="_Toc14265155"/>
      <w:r w:rsidRPr="00EE23EE">
        <w:rPr>
          <w:rFonts w:ascii="Arial" w:eastAsia="Times New Roman" w:hAnsi="Arial" w:cs="Arial"/>
          <w:bCs/>
          <w:color w:val="333333"/>
          <w:sz w:val="24"/>
          <w:szCs w:val="24"/>
        </w:rPr>
        <w:t xml:space="preserve">Some service centers require a long breakeven period due to startup costs or volume fluctuations. Initial multiyear breakeven periods of up to five years are allowable. Requests for a multi-year break-even period must be included in the “New Service Center Request Form” and be approved by the </w:t>
      </w:r>
      <w:r w:rsidR="0056556E">
        <w:rPr>
          <w:rFonts w:ascii="Arial" w:eastAsia="Times New Roman" w:hAnsi="Arial" w:cs="Arial"/>
          <w:bCs/>
          <w:color w:val="333333"/>
          <w:sz w:val="24"/>
          <w:szCs w:val="24"/>
        </w:rPr>
        <w:t>u</w:t>
      </w:r>
      <w:r>
        <w:rPr>
          <w:rFonts w:ascii="Arial" w:eastAsia="Times New Roman" w:hAnsi="Arial" w:cs="Arial"/>
          <w:bCs/>
          <w:color w:val="333333"/>
          <w:sz w:val="24"/>
          <w:szCs w:val="24"/>
        </w:rPr>
        <w:t xml:space="preserve">niversity </w:t>
      </w:r>
      <w:r w:rsidR="0056556E">
        <w:rPr>
          <w:rFonts w:ascii="Arial" w:eastAsia="Times New Roman" w:hAnsi="Arial" w:cs="Arial"/>
          <w:bCs/>
          <w:color w:val="333333"/>
          <w:sz w:val="24"/>
          <w:szCs w:val="24"/>
        </w:rPr>
        <w:t>controller’s o</w:t>
      </w:r>
      <w:r w:rsidRPr="00EE23EE">
        <w:rPr>
          <w:rFonts w:ascii="Arial" w:eastAsia="Times New Roman" w:hAnsi="Arial" w:cs="Arial"/>
          <w:bCs/>
          <w:color w:val="333333"/>
          <w:sz w:val="24"/>
          <w:szCs w:val="24"/>
        </w:rPr>
        <w:t>ffice.</w:t>
      </w:r>
      <w:bookmarkEnd w:id="17"/>
    </w:p>
    <w:p w:rsidR="009653BB" w:rsidRPr="00EE23EE" w:rsidRDefault="009653BB" w:rsidP="009653BB">
      <w:pPr>
        <w:numPr>
          <w:ilvl w:val="1"/>
          <w:numId w:val="3"/>
        </w:numPr>
        <w:shd w:val="clear" w:color="auto" w:fill="FFFFFF"/>
        <w:spacing w:after="0" w:line="330" w:lineRule="atLeast"/>
        <w:rPr>
          <w:rFonts w:ascii="Arial" w:eastAsia="Times New Roman" w:hAnsi="Arial" w:cs="Arial"/>
          <w:b/>
          <w:color w:val="333333"/>
          <w:sz w:val="27"/>
          <w:szCs w:val="27"/>
        </w:rPr>
      </w:pPr>
      <w:bookmarkStart w:id="18" w:name="_Toc14265156"/>
      <w:r w:rsidRPr="00EE23EE">
        <w:rPr>
          <w:rFonts w:ascii="Arial" w:eastAsia="Times New Roman" w:hAnsi="Arial" w:cs="Arial"/>
          <w:b/>
          <w:color w:val="333333"/>
          <w:sz w:val="24"/>
          <w:szCs w:val="24"/>
        </w:rPr>
        <w:t>Surpluses</w:t>
      </w:r>
      <w:r w:rsidRPr="00EE23EE">
        <w:rPr>
          <w:rFonts w:ascii="Arial" w:eastAsia="Times New Roman" w:hAnsi="Arial" w:cs="Arial"/>
          <w:b/>
          <w:color w:val="333333"/>
          <w:sz w:val="27"/>
          <w:szCs w:val="27"/>
        </w:rPr>
        <w:t xml:space="preserve"> or Deficits</w:t>
      </w:r>
      <w:bookmarkEnd w:id="18"/>
    </w:p>
    <w:p w:rsidR="009653BB" w:rsidRPr="00EE23EE" w:rsidRDefault="009653BB" w:rsidP="009653BB">
      <w:pPr>
        <w:shd w:val="clear" w:color="auto" w:fill="FFFFFF"/>
        <w:spacing w:after="100" w:afterAutospacing="1" w:line="330" w:lineRule="atLeast"/>
        <w:ind w:left="1440"/>
        <w:rPr>
          <w:rFonts w:ascii="Arial" w:eastAsia="Times New Roman" w:hAnsi="Arial" w:cs="Arial"/>
          <w:bCs/>
          <w:color w:val="333333"/>
          <w:sz w:val="24"/>
          <w:szCs w:val="24"/>
        </w:rPr>
      </w:pPr>
      <w:bookmarkStart w:id="19" w:name="_Toc14265157"/>
      <w:r w:rsidRPr="00EE23EE">
        <w:rPr>
          <w:rFonts w:ascii="Arial" w:eastAsia="Times New Roman" w:hAnsi="Arial" w:cs="Arial"/>
          <w:bCs/>
          <w:color w:val="333333"/>
          <w:sz w:val="24"/>
          <w:szCs w:val="24"/>
        </w:rPr>
        <w:t xml:space="preserve">It is not possible to predict what rate(s) will achieve an actual annual breakeven financial position. For   this   reason, as    defined    in    the    Academic    Service    Center Policy, a threshold of +/- 25% of total operating expenses is reasonable and allows for unbudgeted variances in </w:t>
      </w:r>
      <w:r w:rsidRPr="00EE23EE">
        <w:rPr>
          <w:rFonts w:ascii="Arial" w:eastAsia="Times New Roman" w:hAnsi="Arial" w:cs="Arial"/>
          <w:bCs/>
          <w:color w:val="333333"/>
          <w:sz w:val="24"/>
          <w:szCs w:val="24"/>
        </w:rPr>
        <w:lastRenderedPageBreak/>
        <w:t>volume or expenses. Sometimes, it may be necessary to adjust rates at mid-year or at other times during the annual cycle.</w:t>
      </w:r>
      <w:bookmarkEnd w:id="19"/>
    </w:p>
    <w:p w:rsidR="009653BB" w:rsidRPr="00EE23EE" w:rsidRDefault="009653BB" w:rsidP="009653BB">
      <w:pPr>
        <w:shd w:val="clear" w:color="auto" w:fill="FFFFFF"/>
        <w:spacing w:after="100" w:afterAutospacing="1" w:line="330" w:lineRule="atLeast"/>
        <w:ind w:left="1440"/>
        <w:rPr>
          <w:rFonts w:ascii="Arial" w:eastAsia="Times New Roman" w:hAnsi="Arial" w:cs="Arial"/>
          <w:bCs/>
          <w:color w:val="333333"/>
          <w:sz w:val="24"/>
          <w:szCs w:val="24"/>
        </w:rPr>
      </w:pPr>
      <w:bookmarkStart w:id="20" w:name="_Toc14265158"/>
      <w:r w:rsidRPr="00EE23EE">
        <w:rPr>
          <w:rFonts w:ascii="Arial" w:eastAsia="Times New Roman" w:hAnsi="Arial" w:cs="Arial"/>
          <w:bCs/>
          <w:color w:val="333333"/>
          <w:sz w:val="24"/>
          <w:szCs w:val="24"/>
        </w:rPr>
        <w:t xml:space="preserve">Monthly and fiscal mid-year reviews of service center accounts are recommended to determine compliance with the annual +/- 25% surplus/deficit requirement. If there is an operating surplus in excess of 25% at midyear, the budget should be reviewed to determine whether a mid-year rate reduction is necessary. If there is an operating deficit in excess of 25% at midyear and the service center is not subsidized, the budget should be reviewed to determine whether a mid- year rate increase is necessary. All rate changes must be documented, approved by the </w:t>
      </w:r>
      <w:r w:rsidR="0056556E">
        <w:rPr>
          <w:rFonts w:ascii="Arial" w:eastAsia="Times New Roman" w:hAnsi="Arial" w:cs="Arial"/>
          <w:bCs/>
          <w:color w:val="333333"/>
          <w:sz w:val="24"/>
          <w:szCs w:val="24"/>
        </w:rPr>
        <w:t>u</w:t>
      </w:r>
      <w:r>
        <w:rPr>
          <w:rFonts w:ascii="Arial" w:eastAsia="Times New Roman" w:hAnsi="Arial" w:cs="Arial"/>
          <w:bCs/>
          <w:color w:val="333333"/>
          <w:sz w:val="24"/>
          <w:szCs w:val="24"/>
        </w:rPr>
        <w:t xml:space="preserve">niversity </w:t>
      </w:r>
      <w:r w:rsidR="0056556E">
        <w:rPr>
          <w:rFonts w:ascii="Arial" w:eastAsia="Times New Roman" w:hAnsi="Arial" w:cs="Arial"/>
          <w:bCs/>
          <w:color w:val="333333"/>
          <w:sz w:val="24"/>
          <w:szCs w:val="24"/>
        </w:rPr>
        <w:t>controller’s o</w:t>
      </w:r>
      <w:r w:rsidRPr="00EE23EE">
        <w:rPr>
          <w:rFonts w:ascii="Arial" w:eastAsia="Times New Roman" w:hAnsi="Arial" w:cs="Arial"/>
          <w:bCs/>
          <w:color w:val="333333"/>
          <w:sz w:val="24"/>
          <w:szCs w:val="24"/>
        </w:rPr>
        <w:t>ffice, and dated for audit purposes.</w:t>
      </w:r>
      <w:bookmarkEnd w:id="20"/>
    </w:p>
    <w:p w:rsidR="009653BB" w:rsidRDefault="009653BB" w:rsidP="009653BB">
      <w:pPr>
        <w:numPr>
          <w:ilvl w:val="1"/>
          <w:numId w:val="3"/>
        </w:numPr>
        <w:shd w:val="clear" w:color="auto" w:fill="FFFFFF"/>
        <w:spacing w:after="0" w:line="330" w:lineRule="atLeast"/>
        <w:rPr>
          <w:rFonts w:ascii="Arial" w:hAnsi="Arial" w:cs="Arial"/>
          <w:b/>
          <w:bCs/>
          <w:color w:val="333333"/>
        </w:rPr>
      </w:pPr>
      <w:bookmarkStart w:id="21" w:name="_Toc14265159"/>
      <w:r w:rsidRPr="00CF702A">
        <w:rPr>
          <w:rFonts w:ascii="Arial" w:eastAsia="Times New Roman" w:hAnsi="Arial" w:cs="Arial"/>
          <w:b/>
          <w:color w:val="333333"/>
          <w:sz w:val="24"/>
          <w:szCs w:val="24"/>
        </w:rPr>
        <w:t>Carryforward</w:t>
      </w:r>
      <w:r w:rsidRPr="00EE23EE">
        <w:rPr>
          <w:rFonts w:ascii="Arial" w:eastAsia="Times New Roman" w:hAnsi="Arial" w:cs="Arial"/>
          <w:b/>
          <w:color w:val="333333"/>
          <w:sz w:val="27"/>
          <w:szCs w:val="27"/>
        </w:rPr>
        <w:t xml:space="preserve"> of Prior Year Gain/Loss</w:t>
      </w:r>
      <w:bookmarkEnd w:id="21"/>
    </w:p>
    <w:p w:rsidR="009653BB" w:rsidRDefault="009653BB" w:rsidP="009653BB">
      <w:pPr>
        <w:shd w:val="clear" w:color="auto" w:fill="FFFFFF"/>
        <w:spacing w:after="100" w:afterAutospacing="1" w:line="330" w:lineRule="atLeast"/>
        <w:ind w:left="1440"/>
        <w:rPr>
          <w:rFonts w:ascii="Arial" w:eastAsia="Times New Roman" w:hAnsi="Arial" w:cs="Arial"/>
          <w:bCs/>
          <w:color w:val="333333"/>
          <w:sz w:val="24"/>
          <w:szCs w:val="27"/>
        </w:rPr>
      </w:pPr>
      <w:bookmarkStart w:id="22" w:name="_Toc14265160"/>
      <w:r w:rsidRPr="00EE23EE">
        <w:rPr>
          <w:rFonts w:ascii="Arial" w:eastAsia="Times New Roman" w:hAnsi="Arial" w:cs="Arial"/>
          <w:bCs/>
          <w:color w:val="333333"/>
          <w:sz w:val="24"/>
          <w:szCs w:val="27"/>
        </w:rPr>
        <w:t>Fiscal year-end reviews of service center accounts must also b</w:t>
      </w:r>
      <w:r w:rsidR="00D671A1">
        <w:rPr>
          <w:rFonts w:ascii="Arial" w:eastAsia="Times New Roman" w:hAnsi="Arial" w:cs="Arial"/>
          <w:bCs/>
          <w:color w:val="333333"/>
          <w:sz w:val="24"/>
          <w:szCs w:val="27"/>
        </w:rPr>
        <w:t>e</w:t>
      </w:r>
      <w:r w:rsidRPr="00EE23EE">
        <w:rPr>
          <w:rFonts w:ascii="Arial" w:eastAsia="Times New Roman" w:hAnsi="Arial" w:cs="Arial"/>
          <w:bCs/>
          <w:color w:val="333333"/>
          <w:sz w:val="24"/>
          <w:szCs w:val="27"/>
        </w:rPr>
        <w:t xml:space="preserve"> performed to </w:t>
      </w:r>
      <w:r w:rsidRPr="00EE23EE">
        <w:rPr>
          <w:rFonts w:ascii="Arial" w:eastAsia="Times New Roman" w:hAnsi="Arial" w:cs="Arial"/>
          <w:bCs/>
          <w:color w:val="333333"/>
          <w:sz w:val="24"/>
          <w:szCs w:val="24"/>
        </w:rPr>
        <w:t>determine</w:t>
      </w:r>
      <w:r w:rsidRPr="00EE23EE">
        <w:rPr>
          <w:rFonts w:ascii="Arial" w:eastAsia="Times New Roman" w:hAnsi="Arial" w:cs="Arial"/>
          <w:bCs/>
          <w:color w:val="333333"/>
          <w:sz w:val="24"/>
          <w:szCs w:val="27"/>
        </w:rPr>
        <w:t xml:space="preserve"> compliance with the cumulative surplus/deficit requirement. A cumulative gain (surplus) or loss (deficit) from prior years over the 25% annual threshold should be factored into future rate calculations. When this produces material fluctuations in the subsequent year’s calculations, it is allowable to spread the carryforward over multiple years.</w:t>
      </w:r>
      <w:bookmarkEnd w:id="22"/>
    </w:p>
    <w:p w:rsidR="009653BB" w:rsidRPr="00E66D63" w:rsidRDefault="009653BB" w:rsidP="009653BB">
      <w:pPr>
        <w:numPr>
          <w:ilvl w:val="1"/>
          <w:numId w:val="3"/>
        </w:numPr>
        <w:shd w:val="clear" w:color="auto" w:fill="FFFFFF"/>
        <w:spacing w:after="0" w:line="330" w:lineRule="atLeast"/>
        <w:rPr>
          <w:rFonts w:ascii="Arial" w:eastAsia="Times New Roman" w:hAnsi="Arial" w:cs="Arial"/>
          <w:b/>
          <w:bCs/>
          <w:color w:val="333333"/>
          <w:sz w:val="27"/>
          <w:szCs w:val="27"/>
        </w:rPr>
      </w:pPr>
      <w:bookmarkStart w:id="23" w:name="_Toc14265161"/>
      <w:r w:rsidRPr="00CC31B8">
        <w:rPr>
          <w:rFonts w:ascii="Arial" w:eastAsia="Times New Roman" w:hAnsi="Arial" w:cs="Arial"/>
          <w:b/>
          <w:color w:val="333333"/>
          <w:sz w:val="24"/>
          <w:szCs w:val="24"/>
        </w:rPr>
        <w:t>Pricing</w:t>
      </w:r>
      <w:r w:rsidRPr="00E66D63">
        <w:rPr>
          <w:rFonts w:ascii="Arial" w:eastAsia="Times New Roman" w:hAnsi="Arial" w:cs="Arial"/>
          <w:b/>
          <w:bCs/>
          <w:color w:val="333333"/>
          <w:sz w:val="27"/>
          <w:szCs w:val="27"/>
        </w:rPr>
        <w:t xml:space="preserve"> </w:t>
      </w:r>
      <w:r w:rsidRPr="00E66D63">
        <w:rPr>
          <w:rFonts w:ascii="Arial" w:eastAsia="Times New Roman" w:hAnsi="Arial" w:cs="Arial"/>
          <w:b/>
          <w:color w:val="333333"/>
          <w:sz w:val="24"/>
          <w:szCs w:val="24"/>
        </w:rPr>
        <w:t>of</w:t>
      </w:r>
      <w:r w:rsidRPr="00E66D63">
        <w:rPr>
          <w:rFonts w:ascii="Arial" w:eastAsia="Times New Roman" w:hAnsi="Arial" w:cs="Arial"/>
          <w:b/>
          <w:bCs/>
          <w:color w:val="333333"/>
          <w:sz w:val="27"/>
          <w:szCs w:val="27"/>
        </w:rPr>
        <w:t xml:space="preserve"> Multiple Services</w:t>
      </w:r>
      <w:bookmarkEnd w:id="23"/>
    </w:p>
    <w:p w:rsidR="009653BB" w:rsidRPr="00EC17AE" w:rsidRDefault="009653BB" w:rsidP="009653BB">
      <w:pPr>
        <w:shd w:val="clear" w:color="auto" w:fill="FFFFFF"/>
        <w:spacing w:after="100" w:afterAutospacing="1" w:line="330" w:lineRule="atLeast"/>
        <w:ind w:left="1440"/>
        <w:rPr>
          <w:rFonts w:ascii="Arial" w:eastAsia="Times New Roman" w:hAnsi="Arial" w:cs="Arial"/>
          <w:bCs/>
          <w:color w:val="333333"/>
          <w:sz w:val="24"/>
          <w:szCs w:val="27"/>
        </w:rPr>
      </w:pPr>
      <w:bookmarkStart w:id="24" w:name="_Toc14265162"/>
      <w:r w:rsidRPr="00EC17AE">
        <w:rPr>
          <w:rFonts w:ascii="Arial" w:eastAsia="Times New Roman" w:hAnsi="Arial" w:cs="Arial"/>
          <w:bCs/>
          <w:color w:val="333333"/>
          <w:sz w:val="24"/>
          <w:szCs w:val="27"/>
        </w:rPr>
        <w:t>Service centers offering multiple services should calculate appropriate rates for each service. The goal is to create a billing rate that does not cross-subsidize between services or user groups.</w:t>
      </w:r>
      <w:bookmarkEnd w:id="24"/>
    </w:p>
    <w:p w:rsidR="009653BB" w:rsidRPr="00754AF0" w:rsidRDefault="009653BB" w:rsidP="009653BB">
      <w:pPr>
        <w:shd w:val="clear" w:color="auto" w:fill="FFFFFF"/>
        <w:spacing w:after="100" w:afterAutospacing="1" w:line="330" w:lineRule="atLeast"/>
        <w:ind w:left="1440"/>
        <w:rPr>
          <w:rFonts w:ascii="Arial" w:eastAsia="Times New Roman" w:hAnsi="Arial" w:cs="Arial"/>
          <w:bCs/>
          <w:color w:val="333333"/>
          <w:sz w:val="24"/>
          <w:szCs w:val="27"/>
        </w:rPr>
      </w:pPr>
      <w:bookmarkStart w:id="25" w:name="_Toc14265163"/>
      <w:r w:rsidRPr="00754AF0">
        <w:rPr>
          <w:rFonts w:ascii="Arial" w:eastAsia="Times New Roman" w:hAnsi="Arial" w:cs="Arial"/>
          <w:bCs/>
          <w:color w:val="333333"/>
          <w:sz w:val="24"/>
          <w:szCs w:val="27"/>
        </w:rPr>
        <w:t>Blending the costs and revenues of various services is not allowed if the component costs of each service is different because blending the costs would result in the lower cost service users subsidizing the higher cost service users. For example:</w:t>
      </w:r>
      <w:bookmarkEnd w:id="25"/>
    </w:p>
    <w:tbl>
      <w:tblPr>
        <w:tblW w:w="8703" w:type="dxa"/>
        <w:tblInd w:w="1524" w:type="dxa"/>
        <w:tblLayout w:type="fixed"/>
        <w:tblCellMar>
          <w:left w:w="0" w:type="dxa"/>
          <w:right w:w="0" w:type="dxa"/>
        </w:tblCellMar>
        <w:tblLook w:val="01E0" w:firstRow="1" w:lastRow="1" w:firstColumn="1" w:lastColumn="1" w:noHBand="0" w:noVBand="0"/>
      </w:tblPr>
      <w:tblGrid>
        <w:gridCol w:w="3002"/>
        <w:gridCol w:w="2668"/>
        <w:gridCol w:w="3033"/>
      </w:tblGrid>
      <w:tr w:rsidR="009653BB" w:rsidRPr="00001D6C" w:rsidTr="00275123">
        <w:trPr>
          <w:trHeight w:hRule="exact" w:val="560"/>
        </w:trPr>
        <w:tc>
          <w:tcPr>
            <w:tcW w:w="3002"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ind w:left="690"/>
              <w:rPr>
                <w:rFonts w:ascii="Arial" w:hAnsi="Arial" w:cs="Arial"/>
              </w:rPr>
            </w:pPr>
          </w:p>
        </w:tc>
        <w:tc>
          <w:tcPr>
            <w:tcW w:w="2668"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71" w:lineRule="exact"/>
              <w:ind w:left="10"/>
              <w:jc w:val="center"/>
              <w:rPr>
                <w:rFonts w:ascii="Arial" w:eastAsia="Times New Roman" w:hAnsi="Arial" w:cs="Arial"/>
                <w:sz w:val="24"/>
                <w:szCs w:val="24"/>
              </w:rPr>
            </w:pPr>
            <w:r w:rsidRPr="00CC31B8">
              <w:rPr>
                <w:rFonts w:ascii="Arial" w:hAnsi="Arial" w:cs="Arial"/>
                <w:spacing w:val="-1"/>
                <w:sz w:val="24"/>
              </w:rPr>
              <w:t>Service</w:t>
            </w:r>
            <w:r w:rsidRPr="00EE23EE">
              <w:rPr>
                <w:rFonts w:ascii="Arial" w:eastAsia="Times New Roman" w:hAnsi="Arial" w:cs="Arial"/>
                <w:sz w:val="24"/>
                <w:szCs w:val="24"/>
              </w:rPr>
              <w:t xml:space="preserve"> A – Tech </w:t>
            </w:r>
            <w:r w:rsidRPr="00EE23EE">
              <w:rPr>
                <w:rFonts w:ascii="Arial" w:eastAsia="Times New Roman" w:hAnsi="Arial" w:cs="Arial"/>
                <w:spacing w:val="-1"/>
                <w:sz w:val="24"/>
                <w:szCs w:val="24"/>
              </w:rPr>
              <w:t>assisted</w:t>
            </w:r>
            <w:r w:rsidRPr="00EE23EE">
              <w:rPr>
                <w:rFonts w:ascii="Arial" w:eastAsia="Times New Roman" w:hAnsi="Arial" w:cs="Arial"/>
                <w:spacing w:val="26"/>
                <w:sz w:val="24"/>
                <w:szCs w:val="24"/>
              </w:rPr>
              <w:t xml:space="preserve"> </w:t>
            </w:r>
            <w:r w:rsidRPr="00EE23EE">
              <w:rPr>
                <w:rFonts w:ascii="Arial" w:eastAsia="Times New Roman" w:hAnsi="Arial" w:cs="Arial"/>
                <w:sz w:val="24"/>
                <w:szCs w:val="24"/>
              </w:rPr>
              <w:t>Sorting</w:t>
            </w:r>
          </w:p>
        </w:tc>
        <w:tc>
          <w:tcPr>
            <w:tcW w:w="3033"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71" w:lineRule="exact"/>
              <w:ind w:left="10"/>
              <w:jc w:val="center"/>
              <w:rPr>
                <w:rFonts w:ascii="Arial" w:eastAsia="Times New Roman" w:hAnsi="Arial" w:cs="Arial"/>
                <w:sz w:val="24"/>
                <w:szCs w:val="24"/>
              </w:rPr>
            </w:pPr>
            <w:r w:rsidRPr="00EE23EE">
              <w:rPr>
                <w:rFonts w:ascii="Arial" w:eastAsia="Times New Roman" w:hAnsi="Arial" w:cs="Arial"/>
                <w:sz w:val="24"/>
                <w:szCs w:val="24"/>
              </w:rPr>
              <w:t>Service B – Self-Service Sorting</w:t>
            </w:r>
          </w:p>
        </w:tc>
      </w:tr>
      <w:tr w:rsidR="009653BB" w:rsidRPr="00001D6C" w:rsidTr="00275123">
        <w:trPr>
          <w:trHeight w:hRule="exact" w:val="562"/>
        </w:trPr>
        <w:tc>
          <w:tcPr>
            <w:tcW w:w="3002"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66" w:lineRule="exact"/>
              <w:ind w:left="105"/>
              <w:rPr>
                <w:rFonts w:ascii="Arial" w:eastAsia="Times New Roman" w:hAnsi="Arial" w:cs="Arial"/>
                <w:sz w:val="24"/>
                <w:szCs w:val="24"/>
              </w:rPr>
            </w:pPr>
            <w:r w:rsidRPr="00EE23EE">
              <w:rPr>
                <w:rFonts w:ascii="Arial" w:hAnsi="Arial" w:cs="Arial"/>
                <w:sz w:val="24"/>
              </w:rPr>
              <w:t>Costs</w:t>
            </w:r>
          </w:p>
        </w:tc>
        <w:tc>
          <w:tcPr>
            <w:tcW w:w="5701" w:type="dxa"/>
            <w:gridSpan w:val="2"/>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60" w:lineRule="exact"/>
              <w:ind w:left="8"/>
              <w:jc w:val="center"/>
              <w:rPr>
                <w:rFonts w:ascii="Arial" w:eastAsia="Times New Roman" w:hAnsi="Arial" w:cs="Arial"/>
                <w:sz w:val="24"/>
                <w:szCs w:val="24"/>
              </w:rPr>
            </w:pPr>
            <w:r w:rsidRPr="00EE23EE">
              <w:rPr>
                <w:rFonts w:ascii="Arial" w:hAnsi="Arial" w:cs="Arial"/>
                <w:sz w:val="24"/>
              </w:rPr>
              <w:t xml:space="preserve">Service unit = 1 </w:t>
            </w:r>
            <w:r w:rsidRPr="00EE23EE">
              <w:rPr>
                <w:rFonts w:ascii="Arial" w:hAnsi="Arial" w:cs="Arial"/>
                <w:spacing w:val="-1"/>
                <w:sz w:val="24"/>
              </w:rPr>
              <w:t>hour</w:t>
            </w:r>
          </w:p>
          <w:p w:rsidR="009653BB" w:rsidRPr="00EE23EE" w:rsidRDefault="009653BB" w:rsidP="00275123">
            <w:pPr>
              <w:pStyle w:val="TableParagraph"/>
              <w:spacing w:line="271" w:lineRule="exact"/>
              <w:ind w:left="10"/>
              <w:jc w:val="center"/>
              <w:rPr>
                <w:rFonts w:ascii="Arial" w:eastAsia="Times New Roman" w:hAnsi="Arial" w:cs="Arial"/>
                <w:sz w:val="24"/>
                <w:szCs w:val="24"/>
              </w:rPr>
            </w:pPr>
            <w:r w:rsidRPr="00EE23EE">
              <w:rPr>
                <w:rFonts w:ascii="Arial" w:hAnsi="Arial" w:cs="Arial"/>
                <w:spacing w:val="-1"/>
                <w:sz w:val="24"/>
              </w:rPr>
              <w:t>$</w:t>
            </w:r>
            <w:r>
              <w:rPr>
                <w:rFonts w:ascii="Arial" w:hAnsi="Arial" w:cs="Arial"/>
                <w:spacing w:val="-1"/>
                <w:sz w:val="24"/>
              </w:rPr>
              <w:t>c</w:t>
            </w:r>
            <w:r w:rsidRPr="00EE23EE">
              <w:rPr>
                <w:rFonts w:ascii="Arial" w:hAnsi="Arial" w:cs="Arial"/>
                <w:spacing w:val="-1"/>
                <w:sz w:val="24"/>
              </w:rPr>
              <w:t>ost /hour</w:t>
            </w:r>
          </w:p>
        </w:tc>
      </w:tr>
      <w:tr w:rsidR="009653BB" w:rsidRPr="00001D6C" w:rsidTr="00275123">
        <w:trPr>
          <w:trHeight w:hRule="exact" w:val="284"/>
        </w:trPr>
        <w:tc>
          <w:tcPr>
            <w:tcW w:w="3002"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6" w:lineRule="exact"/>
              <w:ind w:left="105"/>
              <w:rPr>
                <w:rFonts w:ascii="Arial" w:eastAsia="Times New Roman" w:hAnsi="Arial" w:cs="Arial"/>
                <w:sz w:val="24"/>
                <w:szCs w:val="24"/>
              </w:rPr>
            </w:pPr>
            <w:r w:rsidRPr="00EE23EE">
              <w:rPr>
                <w:rFonts w:ascii="Arial" w:hAnsi="Arial" w:cs="Arial"/>
                <w:sz w:val="24"/>
              </w:rPr>
              <w:t xml:space="preserve">Senior Tech </w:t>
            </w:r>
            <w:r w:rsidRPr="00EE23EE">
              <w:rPr>
                <w:rFonts w:ascii="Arial" w:hAnsi="Arial" w:cs="Arial"/>
                <w:spacing w:val="-1"/>
                <w:sz w:val="24"/>
              </w:rPr>
              <w:t>compensation</w:t>
            </w:r>
          </w:p>
        </w:tc>
        <w:tc>
          <w:tcPr>
            <w:tcW w:w="2668"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6" w:lineRule="exact"/>
              <w:ind w:left="15"/>
              <w:jc w:val="center"/>
              <w:rPr>
                <w:rFonts w:ascii="Arial" w:eastAsia="Times New Roman" w:hAnsi="Arial" w:cs="Arial"/>
                <w:sz w:val="24"/>
                <w:szCs w:val="24"/>
              </w:rPr>
            </w:pPr>
            <w:r w:rsidRPr="00EE23EE">
              <w:rPr>
                <w:rFonts w:ascii="Arial" w:hAnsi="Arial" w:cs="Arial"/>
                <w:sz w:val="24"/>
              </w:rPr>
              <w:t>$60</w:t>
            </w:r>
          </w:p>
        </w:tc>
        <w:tc>
          <w:tcPr>
            <w:tcW w:w="3033"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6" w:lineRule="exact"/>
              <w:ind w:left="7"/>
              <w:jc w:val="center"/>
              <w:rPr>
                <w:rFonts w:ascii="Arial" w:eastAsia="Times New Roman" w:hAnsi="Arial" w:cs="Arial"/>
                <w:sz w:val="24"/>
                <w:szCs w:val="24"/>
              </w:rPr>
            </w:pPr>
            <w:r>
              <w:rPr>
                <w:rFonts w:ascii="Arial" w:hAnsi="Arial" w:cs="Arial"/>
                <w:sz w:val="24"/>
              </w:rPr>
              <w:t>$</w:t>
            </w:r>
            <w:r w:rsidRPr="00EE23EE">
              <w:rPr>
                <w:rFonts w:ascii="Arial" w:hAnsi="Arial" w:cs="Arial"/>
                <w:sz w:val="24"/>
              </w:rPr>
              <w:t>0</w:t>
            </w:r>
          </w:p>
        </w:tc>
      </w:tr>
      <w:tr w:rsidR="009653BB" w:rsidRPr="00001D6C" w:rsidTr="00275123">
        <w:trPr>
          <w:trHeight w:hRule="exact" w:val="288"/>
        </w:trPr>
        <w:tc>
          <w:tcPr>
            <w:tcW w:w="3002"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7" w:lineRule="exact"/>
              <w:ind w:left="105"/>
              <w:rPr>
                <w:rFonts w:ascii="Arial" w:eastAsia="Times New Roman" w:hAnsi="Arial" w:cs="Arial"/>
                <w:sz w:val="24"/>
                <w:szCs w:val="24"/>
              </w:rPr>
            </w:pPr>
            <w:r w:rsidRPr="00EE23EE">
              <w:rPr>
                <w:rFonts w:ascii="Arial" w:hAnsi="Arial" w:cs="Arial"/>
                <w:spacing w:val="-1"/>
                <w:sz w:val="24"/>
              </w:rPr>
              <w:t>Supplies</w:t>
            </w:r>
          </w:p>
        </w:tc>
        <w:tc>
          <w:tcPr>
            <w:tcW w:w="2668"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7" w:lineRule="exact"/>
              <w:ind w:left="14"/>
              <w:jc w:val="center"/>
              <w:rPr>
                <w:rFonts w:ascii="Arial" w:eastAsia="Times New Roman" w:hAnsi="Arial" w:cs="Arial"/>
                <w:sz w:val="24"/>
                <w:szCs w:val="24"/>
              </w:rPr>
            </w:pPr>
            <w:r w:rsidRPr="00EE23EE">
              <w:rPr>
                <w:rFonts w:ascii="Arial" w:hAnsi="Arial" w:cs="Arial"/>
                <w:spacing w:val="-1"/>
                <w:sz w:val="24"/>
              </w:rPr>
              <w:t>$10</w:t>
            </w:r>
          </w:p>
        </w:tc>
        <w:tc>
          <w:tcPr>
            <w:tcW w:w="3033"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7" w:lineRule="exact"/>
              <w:ind w:left="8"/>
              <w:jc w:val="center"/>
              <w:rPr>
                <w:rFonts w:ascii="Arial" w:eastAsia="Times New Roman" w:hAnsi="Arial" w:cs="Arial"/>
                <w:sz w:val="24"/>
                <w:szCs w:val="24"/>
              </w:rPr>
            </w:pPr>
            <w:r w:rsidRPr="00EE23EE">
              <w:rPr>
                <w:rFonts w:ascii="Arial" w:hAnsi="Arial" w:cs="Arial"/>
                <w:spacing w:val="-1"/>
                <w:sz w:val="24"/>
              </w:rPr>
              <w:t>$10</w:t>
            </w:r>
          </w:p>
        </w:tc>
      </w:tr>
      <w:tr w:rsidR="009653BB" w:rsidRPr="00001D6C" w:rsidTr="00275123">
        <w:trPr>
          <w:trHeight w:hRule="exact" w:val="286"/>
        </w:trPr>
        <w:tc>
          <w:tcPr>
            <w:tcW w:w="3002"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6" w:lineRule="exact"/>
              <w:ind w:left="105"/>
              <w:rPr>
                <w:rFonts w:ascii="Arial" w:eastAsia="Times New Roman" w:hAnsi="Arial" w:cs="Arial"/>
                <w:sz w:val="24"/>
                <w:szCs w:val="24"/>
              </w:rPr>
            </w:pPr>
            <w:r w:rsidRPr="00EE23EE">
              <w:rPr>
                <w:rFonts w:ascii="Arial" w:hAnsi="Arial" w:cs="Arial"/>
                <w:spacing w:val="-1"/>
                <w:sz w:val="24"/>
              </w:rPr>
              <w:t>Service Contract</w:t>
            </w:r>
          </w:p>
        </w:tc>
        <w:tc>
          <w:tcPr>
            <w:tcW w:w="2668"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6" w:lineRule="exact"/>
              <w:ind w:left="16"/>
              <w:jc w:val="center"/>
              <w:rPr>
                <w:rFonts w:ascii="Arial" w:eastAsia="Times New Roman" w:hAnsi="Arial" w:cs="Arial"/>
                <w:sz w:val="24"/>
                <w:szCs w:val="24"/>
              </w:rPr>
            </w:pPr>
            <w:r w:rsidRPr="00EE23EE">
              <w:rPr>
                <w:rFonts w:ascii="Arial" w:hAnsi="Arial" w:cs="Arial"/>
                <w:spacing w:val="-1"/>
                <w:sz w:val="24"/>
              </w:rPr>
              <w:t>$15</w:t>
            </w:r>
          </w:p>
        </w:tc>
        <w:tc>
          <w:tcPr>
            <w:tcW w:w="3033"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6" w:lineRule="exact"/>
              <w:ind w:left="10"/>
              <w:jc w:val="center"/>
              <w:rPr>
                <w:rFonts w:ascii="Arial" w:eastAsia="Times New Roman" w:hAnsi="Arial" w:cs="Arial"/>
                <w:sz w:val="24"/>
                <w:szCs w:val="24"/>
              </w:rPr>
            </w:pPr>
            <w:r w:rsidRPr="00EE23EE">
              <w:rPr>
                <w:rFonts w:ascii="Arial" w:hAnsi="Arial" w:cs="Arial"/>
                <w:spacing w:val="-1"/>
                <w:sz w:val="24"/>
              </w:rPr>
              <w:t>$15</w:t>
            </w:r>
          </w:p>
        </w:tc>
      </w:tr>
      <w:tr w:rsidR="009653BB" w:rsidRPr="00001D6C" w:rsidTr="00275123">
        <w:trPr>
          <w:trHeight w:hRule="exact" w:val="284"/>
        </w:trPr>
        <w:tc>
          <w:tcPr>
            <w:tcW w:w="3002"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6" w:lineRule="exact"/>
              <w:ind w:left="105"/>
              <w:rPr>
                <w:rFonts w:ascii="Arial" w:eastAsia="Times New Roman" w:hAnsi="Arial" w:cs="Arial"/>
                <w:sz w:val="24"/>
                <w:szCs w:val="24"/>
              </w:rPr>
            </w:pPr>
            <w:r w:rsidRPr="00EE23EE">
              <w:rPr>
                <w:rFonts w:ascii="Arial" w:hAnsi="Arial" w:cs="Arial"/>
                <w:sz w:val="24"/>
              </w:rPr>
              <w:t>Total costs per service unit</w:t>
            </w:r>
          </w:p>
        </w:tc>
        <w:tc>
          <w:tcPr>
            <w:tcW w:w="2668"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6" w:lineRule="exact"/>
              <w:ind w:left="16"/>
              <w:jc w:val="center"/>
              <w:rPr>
                <w:rFonts w:ascii="Arial" w:eastAsia="Times New Roman" w:hAnsi="Arial" w:cs="Arial"/>
                <w:sz w:val="24"/>
                <w:szCs w:val="24"/>
              </w:rPr>
            </w:pPr>
            <w:r w:rsidRPr="00EE23EE">
              <w:rPr>
                <w:rFonts w:ascii="Arial" w:hAnsi="Arial" w:cs="Arial"/>
                <w:sz w:val="24"/>
              </w:rPr>
              <w:t>$85</w:t>
            </w:r>
          </w:p>
        </w:tc>
        <w:tc>
          <w:tcPr>
            <w:tcW w:w="3033" w:type="dxa"/>
            <w:tcBorders>
              <w:top w:val="single" w:sz="5" w:space="0" w:color="000000"/>
              <w:left w:val="single" w:sz="5" w:space="0" w:color="000000"/>
              <w:bottom w:val="single" w:sz="5" w:space="0" w:color="000000"/>
              <w:right w:val="single" w:sz="5" w:space="0" w:color="000000"/>
            </w:tcBorders>
          </w:tcPr>
          <w:p w:rsidR="009653BB" w:rsidRPr="00EE23EE" w:rsidRDefault="009653BB" w:rsidP="00275123">
            <w:pPr>
              <w:pStyle w:val="TableParagraph"/>
              <w:spacing w:line="256" w:lineRule="exact"/>
              <w:ind w:left="10"/>
              <w:jc w:val="center"/>
              <w:rPr>
                <w:rFonts w:ascii="Arial" w:eastAsia="Times New Roman" w:hAnsi="Arial" w:cs="Arial"/>
                <w:sz w:val="24"/>
                <w:szCs w:val="24"/>
              </w:rPr>
            </w:pPr>
            <w:r w:rsidRPr="00EE23EE">
              <w:rPr>
                <w:rFonts w:ascii="Arial" w:hAnsi="Arial" w:cs="Arial"/>
                <w:sz w:val="24"/>
              </w:rPr>
              <w:t>$25</w:t>
            </w:r>
          </w:p>
        </w:tc>
      </w:tr>
    </w:tbl>
    <w:p w:rsidR="009653BB" w:rsidRDefault="009653BB" w:rsidP="009653BB">
      <w:pPr>
        <w:shd w:val="clear" w:color="auto" w:fill="FFFFFF"/>
        <w:spacing w:after="100" w:afterAutospacing="1" w:line="330" w:lineRule="atLeast"/>
        <w:ind w:left="1440"/>
        <w:rPr>
          <w:rFonts w:ascii="Arial" w:eastAsia="Times New Roman" w:hAnsi="Arial" w:cs="Arial"/>
          <w:bCs/>
          <w:color w:val="333333"/>
          <w:sz w:val="24"/>
          <w:szCs w:val="27"/>
        </w:rPr>
      </w:pPr>
      <w:bookmarkStart w:id="26" w:name="_Toc14265164"/>
      <w:r w:rsidRPr="00EC17AE">
        <w:rPr>
          <w:rFonts w:ascii="Arial" w:eastAsia="Times New Roman" w:hAnsi="Arial" w:cs="Arial"/>
          <w:bCs/>
          <w:color w:val="333333"/>
          <w:sz w:val="24"/>
          <w:szCs w:val="27"/>
        </w:rPr>
        <w:lastRenderedPageBreak/>
        <w:t>In this example, the fees for Service A and B could not be blended to arrive at a fee of $55/hour for both services because the costs associated with Service A are different from those associated with Service B; one requires the skill of a senior tech and the other does not. The users of Service B cannot be charged more than $25/hour in order to decrease costs for the users of Service A; i.e., the fees for Service B may not cross subsidize the fees for Service A.</w:t>
      </w:r>
      <w:bookmarkEnd w:id="26"/>
    </w:p>
    <w:p w:rsidR="009653BB" w:rsidRPr="00E66D63" w:rsidRDefault="009653BB" w:rsidP="009653BB">
      <w:pPr>
        <w:numPr>
          <w:ilvl w:val="1"/>
          <w:numId w:val="3"/>
        </w:numPr>
        <w:shd w:val="clear" w:color="auto" w:fill="FFFFFF"/>
        <w:spacing w:after="0" w:line="330" w:lineRule="atLeast"/>
        <w:rPr>
          <w:rFonts w:ascii="Arial" w:hAnsi="Arial" w:cs="Arial"/>
          <w:b/>
          <w:bCs/>
          <w:color w:val="333333"/>
        </w:rPr>
      </w:pPr>
      <w:bookmarkStart w:id="27" w:name="_Toc14265165"/>
      <w:r w:rsidRPr="00E66D63">
        <w:rPr>
          <w:rFonts w:ascii="Arial" w:eastAsia="Times New Roman" w:hAnsi="Arial" w:cs="Arial"/>
          <w:b/>
          <w:bCs/>
          <w:color w:val="333333"/>
          <w:sz w:val="27"/>
          <w:szCs w:val="27"/>
        </w:rPr>
        <w:t xml:space="preserve">Rate </w:t>
      </w:r>
      <w:r w:rsidRPr="00E66D63">
        <w:rPr>
          <w:rFonts w:ascii="Arial" w:eastAsia="Times New Roman" w:hAnsi="Arial" w:cs="Arial"/>
          <w:b/>
          <w:color w:val="333333"/>
          <w:sz w:val="24"/>
          <w:szCs w:val="24"/>
        </w:rPr>
        <w:t>Consistency</w:t>
      </w:r>
      <w:bookmarkEnd w:id="27"/>
    </w:p>
    <w:p w:rsidR="009653BB" w:rsidRDefault="009653BB" w:rsidP="009653BB">
      <w:pPr>
        <w:shd w:val="clear" w:color="auto" w:fill="FFFFFF"/>
        <w:spacing w:after="100" w:afterAutospacing="1" w:line="330" w:lineRule="atLeast"/>
        <w:ind w:left="1440"/>
        <w:rPr>
          <w:rFonts w:ascii="Arial" w:eastAsia="Times New Roman" w:hAnsi="Arial" w:cs="Arial"/>
          <w:bCs/>
          <w:color w:val="333333"/>
          <w:sz w:val="24"/>
          <w:szCs w:val="27"/>
        </w:rPr>
      </w:pPr>
      <w:bookmarkStart w:id="28" w:name="_Toc14265166"/>
      <w:r w:rsidRPr="00EE23EE">
        <w:rPr>
          <w:rFonts w:ascii="Arial" w:eastAsia="Times New Roman" w:hAnsi="Arial" w:cs="Arial"/>
          <w:bCs/>
          <w:color w:val="333333"/>
          <w:sz w:val="24"/>
          <w:szCs w:val="27"/>
        </w:rPr>
        <w:t>Rates can be set based on hours, units, or any other metric that is the closest approximation for utilization of resources to produce the good or service. Rates established by service centers must be non-discriminatory, and all users of the facility must be billed for services. Non-discriminatory means all internal users are charged at same rate(s) for the same level of services rendered or products purchased.</w:t>
      </w:r>
      <w:r>
        <w:rPr>
          <w:rFonts w:ascii="Arial" w:eastAsia="Times New Roman" w:hAnsi="Arial" w:cs="Arial"/>
          <w:bCs/>
          <w:color w:val="333333"/>
          <w:sz w:val="24"/>
          <w:szCs w:val="27"/>
        </w:rPr>
        <w:t xml:space="preserve"> Also, s</w:t>
      </w:r>
      <w:r>
        <w:rPr>
          <w:rFonts w:ascii="Arial" w:eastAsia="Times New Roman" w:hAnsi="Arial" w:cs="Arial"/>
          <w:bCs/>
          <w:color w:val="333333"/>
          <w:sz w:val="24"/>
          <w:szCs w:val="24"/>
        </w:rPr>
        <w:t xml:space="preserve">eparate rates for Federal and non-Federal customers </w:t>
      </w:r>
      <w:r w:rsidRPr="00EE23EE">
        <w:rPr>
          <w:rFonts w:ascii="Arial" w:eastAsia="Times New Roman" w:hAnsi="Arial" w:cs="Arial"/>
          <w:bCs/>
          <w:color w:val="333333"/>
          <w:sz w:val="24"/>
          <w:szCs w:val="24"/>
        </w:rPr>
        <w:t>is</w:t>
      </w:r>
      <w:r>
        <w:rPr>
          <w:rFonts w:ascii="Arial" w:eastAsia="Times New Roman" w:hAnsi="Arial" w:cs="Arial"/>
          <w:bCs/>
          <w:color w:val="333333"/>
          <w:sz w:val="24"/>
          <w:szCs w:val="24"/>
        </w:rPr>
        <w:t xml:space="preserve"> not allowed.</w:t>
      </w:r>
      <w:r w:rsidRPr="00EE23EE">
        <w:rPr>
          <w:rFonts w:ascii="Arial" w:eastAsia="Times New Roman" w:hAnsi="Arial" w:cs="Arial"/>
          <w:bCs/>
          <w:color w:val="333333"/>
          <w:sz w:val="24"/>
          <w:szCs w:val="27"/>
        </w:rPr>
        <w:t xml:space="preserve"> </w:t>
      </w:r>
    </w:p>
    <w:p w:rsidR="009653BB" w:rsidRDefault="009653BB" w:rsidP="009653BB">
      <w:pPr>
        <w:shd w:val="clear" w:color="auto" w:fill="FFFFFF"/>
        <w:spacing w:after="100" w:afterAutospacing="1" w:line="330" w:lineRule="atLeast"/>
        <w:ind w:left="1440"/>
        <w:rPr>
          <w:rFonts w:ascii="Arial" w:eastAsia="Times New Roman" w:hAnsi="Arial" w:cs="Arial"/>
          <w:bCs/>
          <w:color w:val="333333"/>
          <w:sz w:val="24"/>
          <w:szCs w:val="27"/>
        </w:rPr>
      </w:pPr>
      <w:r w:rsidRPr="00EE23EE">
        <w:rPr>
          <w:rFonts w:ascii="Arial" w:eastAsia="Times New Roman" w:hAnsi="Arial" w:cs="Arial"/>
          <w:bCs/>
          <w:color w:val="333333"/>
          <w:sz w:val="24"/>
          <w:szCs w:val="27"/>
        </w:rPr>
        <w:t>If a service center offers any discounted rates (e.g. volume discount) that rate must be available to all internal users.</w:t>
      </w:r>
      <w:r>
        <w:rPr>
          <w:rFonts w:ascii="Arial" w:eastAsia="Times New Roman" w:hAnsi="Arial" w:cs="Arial"/>
          <w:bCs/>
          <w:color w:val="333333"/>
          <w:sz w:val="24"/>
          <w:szCs w:val="27"/>
        </w:rPr>
        <w:t xml:space="preserve"> </w:t>
      </w:r>
      <w:r w:rsidRPr="00EE23EE">
        <w:rPr>
          <w:rFonts w:ascii="Arial" w:eastAsia="Times New Roman" w:hAnsi="Arial" w:cs="Arial"/>
          <w:bCs/>
          <w:color w:val="333333"/>
          <w:sz w:val="24"/>
          <w:szCs w:val="27"/>
        </w:rPr>
        <w:t xml:space="preserve">External users may be charged a billing rate higher than the rate charged to internal users due to the addition of </w:t>
      </w:r>
      <w:r w:rsidR="0056556E">
        <w:rPr>
          <w:rFonts w:ascii="Arial" w:eastAsia="Times New Roman" w:hAnsi="Arial" w:cs="Arial"/>
          <w:bCs/>
          <w:color w:val="333333"/>
          <w:sz w:val="24"/>
          <w:szCs w:val="27"/>
        </w:rPr>
        <w:t>u</w:t>
      </w:r>
      <w:r w:rsidRPr="00EE23EE">
        <w:rPr>
          <w:rFonts w:ascii="Arial" w:eastAsia="Times New Roman" w:hAnsi="Arial" w:cs="Arial"/>
          <w:bCs/>
          <w:color w:val="333333"/>
          <w:sz w:val="24"/>
          <w:szCs w:val="27"/>
        </w:rPr>
        <w:t>niversity F&amp;A and other add-on fees to cover incremental expenses related to external users. It is not necessary to itemize add-on fees for external users on the invoice however, the service center must maintain supporting documentation that identifies the components of the rates charged.</w:t>
      </w:r>
      <w:bookmarkEnd w:id="28"/>
    </w:p>
    <w:p w:rsidR="009653BB" w:rsidRDefault="009653BB" w:rsidP="009653BB">
      <w:pPr>
        <w:shd w:val="clear" w:color="auto" w:fill="FFFFFF"/>
        <w:spacing w:after="100" w:afterAutospacing="1" w:line="330" w:lineRule="atLeast"/>
        <w:ind w:left="1440"/>
        <w:rPr>
          <w:rFonts w:ascii="Arial" w:eastAsia="Times New Roman" w:hAnsi="Arial" w:cs="Arial"/>
          <w:bCs/>
          <w:color w:val="333333"/>
          <w:sz w:val="24"/>
          <w:szCs w:val="27"/>
        </w:rPr>
      </w:pPr>
    </w:p>
    <w:p w:rsidR="009653BB" w:rsidRPr="0091482B" w:rsidRDefault="009653BB" w:rsidP="009653BB">
      <w:pPr>
        <w:numPr>
          <w:ilvl w:val="1"/>
          <w:numId w:val="3"/>
        </w:numPr>
        <w:shd w:val="clear" w:color="auto" w:fill="FFFFFF"/>
        <w:spacing w:after="0" w:line="330" w:lineRule="atLeast"/>
        <w:rPr>
          <w:rFonts w:ascii="Arial" w:eastAsia="Times New Roman" w:hAnsi="Arial" w:cs="Arial"/>
          <w:b/>
          <w:bCs/>
          <w:color w:val="333333"/>
          <w:sz w:val="27"/>
          <w:szCs w:val="27"/>
        </w:rPr>
      </w:pPr>
      <w:bookmarkStart w:id="29" w:name="_Toc14265167"/>
      <w:r w:rsidRPr="00EE23EE">
        <w:rPr>
          <w:rFonts w:ascii="Arial" w:eastAsia="Times New Roman" w:hAnsi="Arial" w:cs="Arial"/>
          <w:b/>
          <w:color w:val="333333"/>
          <w:sz w:val="24"/>
          <w:szCs w:val="24"/>
        </w:rPr>
        <w:t>Internal</w:t>
      </w:r>
      <w:r w:rsidRPr="0091482B">
        <w:rPr>
          <w:rFonts w:ascii="Arial" w:eastAsia="Times New Roman" w:hAnsi="Arial" w:cs="Arial"/>
          <w:b/>
          <w:bCs/>
          <w:color w:val="333333"/>
          <w:sz w:val="27"/>
          <w:szCs w:val="27"/>
        </w:rPr>
        <w:t xml:space="preserve"> versus External Users and Rates</w:t>
      </w:r>
      <w:bookmarkEnd w:id="29"/>
    </w:p>
    <w:p w:rsidR="009653BB" w:rsidRPr="00EE23EE" w:rsidRDefault="009653BB" w:rsidP="009653BB">
      <w:pPr>
        <w:pStyle w:val="ListParagraph"/>
        <w:numPr>
          <w:ilvl w:val="2"/>
          <w:numId w:val="5"/>
        </w:numPr>
        <w:shd w:val="clear" w:color="auto" w:fill="FFFFFF"/>
        <w:spacing w:before="100" w:beforeAutospacing="1" w:after="100" w:afterAutospacing="1" w:line="330" w:lineRule="atLeast"/>
        <w:rPr>
          <w:rFonts w:ascii="Arial" w:eastAsia="Times New Roman" w:hAnsi="Arial" w:cs="Arial"/>
          <w:bCs/>
          <w:color w:val="333333"/>
          <w:sz w:val="24"/>
          <w:szCs w:val="27"/>
        </w:rPr>
      </w:pPr>
      <w:bookmarkStart w:id="30" w:name="_Toc14265168"/>
      <w:r w:rsidRPr="00EE23EE">
        <w:rPr>
          <w:rFonts w:ascii="Arial" w:eastAsia="Times New Roman" w:hAnsi="Arial" w:cs="Arial"/>
          <w:b/>
          <w:bCs/>
          <w:color w:val="333333"/>
          <w:sz w:val="24"/>
          <w:szCs w:val="27"/>
        </w:rPr>
        <w:t>Users:</w:t>
      </w:r>
      <w:r w:rsidRPr="00EE23EE">
        <w:rPr>
          <w:rFonts w:ascii="Arial" w:eastAsia="Times New Roman" w:hAnsi="Arial" w:cs="Arial"/>
          <w:bCs/>
          <w:color w:val="333333"/>
          <w:sz w:val="24"/>
          <w:szCs w:val="27"/>
        </w:rPr>
        <w:t xml:space="preserve"> Purchasers of service center services can be internal, affiliated, or external to the </w:t>
      </w:r>
      <w:r>
        <w:rPr>
          <w:rFonts w:ascii="Arial" w:eastAsia="Times New Roman" w:hAnsi="Arial" w:cs="Arial"/>
          <w:bCs/>
          <w:color w:val="333333"/>
          <w:sz w:val="24"/>
          <w:szCs w:val="27"/>
        </w:rPr>
        <w:t>u</w:t>
      </w:r>
      <w:r w:rsidRPr="00EE23EE">
        <w:rPr>
          <w:rFonts w:ascii="Arial" w:eastAsia="Times New Roman" w:hAnsi="Arial" w:cs="Arial"/>
          <w:bCs/>
          <w:color w:val="333333"/>
          <w:sz w:val="24"/>
          <w:szCs w:val="27"/>
        </w:rPr>
        <w:t>niversity.</w:t>
      </w:r>
      <w:bookmarkEnd w:id="30"/>
    </w:p>
    <w:p w:rsidR="009653BB" w:rsidRPr="00EE23EE" w:rsidRDefault="009653BB" w:rsidP="009653BB">
      <w:pPr>
        <w:numPr>
          <w:ilvl w:val="3"/>
          <w:numId w:val="5"/>
        </w:numPr>
        <w:shd w:val="clear" w:color="auto" w:fill="FFFFFF"/>
        <w:spacing w:before="100" w:beforeAutospacing="1" w:after="100" w:afterAutospacing="1" w:line="330" w:lineRule="atLeast"/>
        <w:rPr>
          <w:rFonts w:ascii="Arial" w:eastAsia="Times New Roman" w:hAnsi="Arial" w:cs="Arial"/>
          <w:bCs/>
          <w:color w:val="333333"/>
          <w:sz w:val="24"/>
          <w:szCs w:val="27"/>
        </w:rPr>
      </w:pPr>
      <w:bookmarkStart w:id="31" w:name="_Toc14265169"/>
      <w:r w:rsidRPr="00EE23EE">
        <w:rPr>
          <w:rFonts w:ascii="Arial" w:eastAsia="Times New Roman" w:hAnsi="Arial" w:cs="Arial"/>
          <w:b/>
          <w:bCs/>
          <w:color w:val="333333"/>
          <w:sz w:val="24"/>
          <w:szCs w:val="27"/>
        </w:rPr>
        <w:t>Internal users</w:t>
      </w:r>
      <w:r w:rsidRPr="00EE23EE">
        <w:rPr>
          <w:rFonts w:ascii="Arial" w:eastAsia="Times New Roman" w:hAnsi="Arial" w:cs="Arial"/>
          <w:bCs/>
          <w:color w:val="333333"/>
          <w:sz w:val="24"/>
          <w:szCs w:val="27"/>
        </w:rPr>
        <w:t xml:space="preserve"> – Investigators within </w:t>
      </w:r>
      <w:r>
        <w:rPr>
          <w:rFonts w:ascii="Arial" w:eastAsia="Times New Roman" w:hAnsi="Arial" w:cs="Arial"/>
          <w:bCs/>
          <w:color w:val="333333"/>
          <w:sz w:val="24"/>
          <w:szCs w:val="27"/>
        </w:rPr>
        <w:t>the u</w:t>
      </w:r>
      <w:r w:rsidRPr="00EE23EE">
        <w:rPr>
          <w:rFonts w:ascii="Arial" w:eastAsia="Times New Roman" w:hAnsi="Arial" w:cs="Arial"/>
          <w:bCs/>
          <w:color w:val="333333"/>
          <w:sz w:val="24"/>
          <w:szCs w:val="27"/>
        </w:rPr>
        <w:t xml:space="preserve">niversity who pay for goods or services are billed through internal billings as described in </w:t>
      </w:r>
      <w:r>
        <w:rPr>
          <w:rFonts w:ascii="Arial" w:eastAsia="Times New Roman" w:hAnsi="Arial" w:cs="Arial"/>
          <w:bCs/>
          <w:color w:val="333333"/>
          <w:sz w:val="24"/>
          <w:szCs w:val="27"/>
        </w:rPr>
        <w:t>Section</w:t>
      </w:r>
      <w:r w:rsidRPr="00EE23EE">
        <w:rPr>
          <w:rFonts w:ascii="Arial" w:eastAsia="Times New Roman" w:hAnsi="Arial" w:cs="Arial"/>
          <w:bCs/>
          <w:color w:val="333333"/>
          <w:sz w:val="24"/>
          <w:szCs w:val="27"/>
        </w:rPr>
        <w:t xml:space="preserve"> 5</w:t>
      </w:r>
      <w:r>
        <w:rPr>
          <w:rFonts w:ascii="Arial" w:eastAsia="Times New Roman" w:hAnsi="Arial" w:cs="Arial"/>
          <w:bCs/>
          <w:color w:val="333333"/>
          <w:sz w:val="24"/>
          <w:szCs w:val="27"/>
        </w:rPr>
        <w:t>,</w:t>
      </w:r>
      <w:r w:rsidRPr="00EE23EE">
        <w:rPr>
          <w:rFonts w:ascii="Arial" w:eastAsia="Times New Roman" w:hAnsi="Arial" w:cs="Arial"/>
          <w:bCs/>
          <w:color w:val="333333"/>
          <w:sz w:val="24"/>
          <w:szCs w:val="27"/>
        </w:rPr>
        <w:t xml:space="preserve"> Billing.</w:t>
      </w:r>
      <w:bookmarkEnd w:id="31"/>
    </w:p>
    <w:p w:rsidR="009653BB" w:rsidRPr="00EE23EE" w:rsidRDefault="009653BB" w:rsidP="009653BB">
      <w:pPr>
        <w:numPr>
          <w:ilvl w:val="3"/>
          <w:numId w:val="5"/>
        </w:numPr>
        <w:shd w:val="clear" w:color="auto" w:fill="FFFFFF"/>
        <w:spacing w:before="100" w:beforeAutospacing="1" w:after="100" w:afterAutospacing="1" w:line="330" w:lineRule="atLeast"/>
        <w:rPr>
          <w:rFonts w:ascii="Arial" w:eastAsia="Times New Roman" w:hAnsi="Arial" w:cs="Arial"/>
          <w:bCs/>
          <w:color w:val="333333"/>
          <w:sz w:val="24"/>
          <w:szCs w:val="27"/>
        </w:rPr>
      </w:pPr>
      <w:bookmarkStart w:id="32" w:name="_Toc14265170"/>
      <w:r w:rsidRPr="00EE23EE">
        <w:rPr>
          <w:rFonts w:ascii="Arial" w:eastAsia="Times New Roman" w:hAnsi="Arial" w:cs="Arial"/>
          <w:b/>
          <w:bCs/>
          <w:color w:val="333333"/>
          <w:sz w:val="24"/>
          <w:szCs w:val="27"/>
        </w:rPr>
        <w:t>Affiliated users</w:t>
      </w:r>
      <w:r w:rsidRPr="00EE23EE">
        <w:rPr>
          <w:rFonts w:ascii="Arial" w:eastAsia="Times New Roman" w:hAnsi="Arial" w:cs="Arial"/>
          <w:bCs/>
          <w:color w:val="333333"/>
          <w:sz w:val="24"/>
          <w:szCs w:val="27"/>
        </w:rPr>
        <w:t xml:space="preserve"> – Academic research investigators at affiliated hospitals and other academic institutions within the</w:t>
      </w:r>
      <w:r>
        <w:rPr>
          <w:rFonts w:ascii="Arial" w:eastAsia="Times New Roman" w:hAnsi="Arial" w:cs="Arial"/>
          <w:bCs/>
          <w:color w:val="333333"/>
          <w:sz w:val="24"/>
          <w:szCs w:val="27"/>
        </w:rPr>
        <w:t xml:space="preserve"> Commonwealth</w:t>
      </w:r>
      <w:r w:rsidRPr="00EE23EE">
        <w:rPr>
          <w:rFonts w:ascii="Arial" w:eastAsia="Times New Roman" w:hAnsi="Arial" w:cs="Arial"/>
          <w:bCs/>
          <w:color w:val="333333"/>
          <w:sz w:val="24"/>
          <w:szCs w:val="27"/>
        </w:rPr>
        <w:t xml:space="preserve"> of </w:t>
      </w:r>
      <w:r>
        <w:rPr>
          <w:rFonts w:ascii="Arial" w:eastAsia="Times New Roman" w:hAnsi="Arial" w:cs="Arial"/>
          <w:bCs/>
          <w:color w:val="333333"/>
          <w:sz w:val="24"/>
          <w:szCs w:val="27"/>
        </w:rPr>
        <w:t>Virginia</w:t>
      </w:r>
      <w:r w:rsidRPr="00EE23EE">
        <w:rPr>
          <w:rFonts w:ascii="Arial" w:eastAsia="Times New Roman" w:hAnsi="Arial" w:cs="Arial"/>
          <w:bCs/>
          <w:color w:val="333333"/>
          <w:sz w:val="24"/>
          <w:szCs w:val="27"/>
        </w:rPr>
        <w:t>. These users are billed using internal rates.</w:t>
      </w:r>
      <w:bookmarkEnd w:id="32"/>
    </w:p>
    <w:p w:rsidR="009653BB" w:rsidRDefault="009653BB" w:rsidP="009653BB">
      <w:pPr>
        <w:numPr>
          <w:ilvl w:val="3"/>
          <w:numId w:val="5"/>
        </w:numPr>
        <w:shd w:val="clear" w:color="auto" w:fill="FFFFFF"/>
        <w:spacing w:before="100" w:beforeAutospacing="1" w:after="100" w:afterAutospacing="1" w:line="330" w:lineRule="atLeast"/>
        <w:rPr>
          <w:rFonts w:ascii="Arial" w:eastAsia="Times New Roman" w:hAnsi="Arial" w:cs="Arial"/>
          <w:bCs/>
          <w:color w:val="333333"/>
          <w:sz w:val="24"/>
          <w:szCs w:val="27"/>
        </w:rPr>
      </w:pPr>
      <w:bookmarkStart w:id="33" w:name="_Toc14265171"/>
      <w:r w:rsidRPr="00EE23EE">
        <w:rPr>
          <w:rFonts w:ascii="Arial" w:eastAsia="Times New Roman" w:hAnsi="Arial" w:cs="Arial"/>
          <w:b/>
          <w:bCs/>
          <w:color w:val="333333"/>
          <w:sz w:val="24"/>
          <w:szCs w:val="27"/>
        </w:rPr>
        <w:lastRenderedPageBreak/>
        <w:t>External users/commercial customers</w:t>
      </w:r>
      <w:r w:rsidRPr="00EE23EE">
        <w:rPr>
          <w:rFonts w:ascii="Arial" w:eastAsia="Times New Roman" w:hAnsi="Arial" w:cs="Arial"/>
          <w:bCs/>
          <w:color w:val="333333"/>
          <w:sz w:val="24"/>
          <w:szCs w:val="27"/>
        </w:rPr>
        <w:t xml:space="preserve"> – An entity or person that is legally separate from </w:t>
      </w:r>
      <w:r w:rsidRPr="00EC17AE">
        <w:rPr>
          <w:rFonts w:ascii="Arial" w:eastAsia="Times New Roman" w:hAnsi="Arial" w:cs="Arial"/>
          <w:bCs/>
          <w:color w:val="333333"/>
          <w:sz w:val="24"/>
          <w:szCs w:val="27"/>
        </w:rPr>
        <w:t>VCU</w:t>
      </w:r>
      <w:r w:rsidRPr="00EE23EE">
        <w:rPr>
          <w:rFonts w:ascii="Arial" w:eastAsia="Times New Roman" w:hAnsi="Arial" w:cs="Arial"/>
          <w:bCs/>
          <w:color w:val="333333"/>
          <w:sz w:val="24"/>
          <w:szCs w:val="27"/>
        </w:rPr>
        <w:t xml:space="preserve"> that typically purchases goods or services for reasons of convenience, quality, or uniqueness of goods or services offered. Examples include collaborators at other institutions outside of the </w:t>
      </w:r>
      <w:r>
        <w:rPr>
          <w:rFonts w:ascii="Arial" w:eastAsia="Times New Roman" w:hAnsi="Arial" w:cs="Arial"/>
          <w:bCs/>
          <w:color w:val="333333"/>
          <w:sz w:val="24"/>
          <w:szCs w:val="27"/>
        </w:rPr>
        <w:t>Commonwealth</w:t>
      </w:r>
      <w:r w:rsidRPr="00EE23EE">
        <w:rPr>
          <w:rFonts w:ascii="Arial" w:eastAsia="Times New Roman" w:hAnsi="Arial" w:cs="Arial"/>
          <w:bCs/>
          <w:color w:val="333333"/>
          <w:sz w:val="24"/>
          <w:szCs w:val="27"/>
        </w:rPr>
        <w:t xml:space="preserve"> of </w:t>
      </w:r>
      <w:r w:rsidRPr="00EC17AE">
        <w:rPr>
          <w:rFonts w:ascii="Arial" w:eastAsia="Times New Roman" w:hAnsi="Arial" w:cs="Arial"/>
          <w:bCs/>
          <w:color w:val="333333"/>
          <w:sz w:val="24"/>
          <w:szCs w:val="27"/>
        </w:rPr>
        <w:t>Virginia</w:t>
      </w:r>
      <w:r w:rsidRPr="00EE23EE">
        <w:rPr>
          <w:rFonts w:ascii="Arial" w:eastAsia="Times New Roman" w:hAnsi="Arial" w:cs="Arial"/>
          <w:bCs/>
          <w:color w:val="333333"/>
          <w:sz w:val="24"/>
          <w:szCs w:val="27"/>
        </w:rPr>
        <w:t xml:space="preserve"> and investigators at commercial research labs. </w:t>
      </w:r>
      <w:r w:rsidRPr="00EE23EE">
        <w:rPr>
          <w:rFonts w:ascii="Arial" w:eastAsia="Times New Roman" w:hAnsi="Arial" w:cs="Arial"/>
          <w:bCs/>
          <w:color w:val="333333"/>
          <w:sz w:val="24"/>
          <w:szCs w:val="27"/>
          <w:u w:val="single"/>
        </w:rPr>
        <w:t>The external user distin</w:t>
      </w:r>
      <w:r w:rsidR="0056556E">
        <w:rPr>
          <w:rFonts w:ascii="Arial" w:eastAsia="Times New Roman" w:hAnsi="Arial" w:cs="Arial"/>
          <w:bCs/>
          <w:color w:val="333333"/>
          <w:sz w:val="24"/>
          <w:szCs w:val="27"/>
          <w:u w:val="single"/>
        </w:rPr>
        <w:t xml:space="preserve">ction is very important to the </w:t>
      </w:r>
      <w:proofErr w:type="gramStart"/>
      <w:r w:rsidR="0056556E">
        <w:rPr>
          <w:rFonts w:ascii="Arial" w:eastAsia="Times New Roman" w:hAnsi="Arial" w:cs="Arial"/>
          <w:bCs/>
          <w:color w:val="333333"/>
          <w:sz w:val="24"/>
          <w:szCs w:val="27"/>
          <w:u w:val="single"/>
        </w:rPr>
        <w:t>u</w:t>
      </w:r>
      <w:r w:rsidRPr="00EE23EE">
        <w:rPr>
          <w:rFonts w:ascii="Arial" w:eastAsia="Times New Roman" w:hAnsi="Arial" w:cs="Arial"/>
          <w:bCs/>
          <w:color w:val="333333"/>
          <w:sz w:val="24"/>
          <w:szCs w:val="27"/>
          <w:u w:val="single"/>
        </w:rPr>
        <w:t>niversity</w:t>
      </w:r>
      <w:proofErr w:type="gramEnd"/>
      <w:r w:rsidRPr="00EE23EE">
        <w:rPr>
          <w:rFonts w:ascii="Arial" w:eastAsia="Times New Roman" w:hAnsi="Arial" w:cs="Arial"/>
          <w:bCs/>
          <w:color w:val="333333"/>
          <w:sz w:val="24"/>
          <w:szCs w:val="27"/>
          <w:u w:val="single"/>
        </w:rPr>
        <w:t xml:space="preserve"> for Unrelated Business income tax (UBIT), sales tax, F&amp;A (indirect) cost rate, and Organized Research policy purposes.</w:t>
      </w:r>
      <w:r w:rsidRPr="002D3232">
        <w:t xml:space="preserve"> </w:t>
      </w:r>
      <w:r>
        <w:rPr>
          <w:rFonts w:ascii="Arial" w:eastAsia="Times New Roman" w:hAnsi="Arial" w:cs="Arial"/>
          <w:bCs/>
          <w:color w:val="333333"/>
          <w:sz w:val="24"/>
          <w:szCs w:val="27"/>
          <w:u w:val="single"/>
        </w:rPr>
        <w:t>External user</w:t>
      </w:r>
      <w:r w:rsidRPr="002D3232">
        <w:rPr>
          <w:rFonts w:ascii="Arial" w:eastAsia="Times New Roman" w:hAnsi="Arial" w:cs="Arial"/>
          <w:bCs/>
          <w:color w:val="333333"/>
          <w:sz w:val="24"/>
          <w:szCs w:val="27"/>
          <w:u w:val="single"/>
        </w:rPr>
        <w:t xml:space="preserve"> arrangements must be approved by the Dean and the </w:t>
      </w:r>
      <w:r>
        <w:rPr>
          <w:rFonts w:ascii="Arial" w:eastAsia="Times New Roman" w:hAnsi="Arial" w:cs="Arial"/>
          <w:bCs/>
          <w:color w:val="333333"/>
          <w:sz w:val="24"/>
          <w:szCs w:val="27"/>
          <w:u w:val="single"/>
        </w:rPr>
        <w:t>Controller’s Office</w:t>
      </w:r>
      <w:r w:rsidRPr="002D3232">
        <w:rPr>
          <w:rFonts w:ascii="Arial" w:eastAsia="Times New Roman" w:hAnsi="Arial" w:cs="Arial"/>
          <w:bCs/>
          <w:color w:val="333333"/>
          <w:sz w:val="24"/>
          <w:szCs w:val="27"/>
          <w:u w:val="single"/>
        </w:rPr>
        <w:t>.</w:t>
      </w:r>
      <w:bookmarkEnd w:id="33"/>
      <w:r>
        <w:rPr>
          <w:rFonts w:ascii="Arial" w:eastAsia="Times New Roman" w:hAnsi="Arial" w:cs="Arial"/>
          <w:bCs/>
          <w:color w:val="333333"/>
          <w:sz w:val="24"/>
          <w:szCs w:val="27"/>
          <w:u w:val="single"/>
        </w:rPr>
        <w:t xml:space="preserve"> If contracts are executed they must be approved by legal counsel.</w:t>
      </w:r>
    </w:p>
    <w:p w:rsidR="009653BB" w:rsidRPr="00D671A1" w:rsidRDefault="009653BB" w:rsidP="00D671A1">
      <w:pPr>
        <w:shd w:val="clear" w:color="auto" w:fill="FFFFFF"/>
        <w:spacing w:after="0" w:line="330" w:lineRule="atLeast"/>
        <w:ind w:left="1080"/>
        <w:rPr>
          <w:rFonts w:ascii="Arial" w:hAnsi="Arial" w:cs="Arial"/>
          <w:b/>
          <w:bCs/>
          <w:sz w:val="27"/>
          <w:szCs w:val="27"/>
        </w:rPr>
      </w:pPr>
      <w:r w:rsidRPr="00D671A1">
        <w:rPr>
          <w:rFonts w:ascii="Arial" w:hAnsi="Arial" w:cs="Arial"/>
          <w:b/>
          <w:sz w:val="27"/>
          <w:szCs w:val="27"/>
        </w:rPr>
        <w:t>Tax Issues Relating to Service Centers</w:t>
      </w:r>
    </w:p>
    <w:p w:rsidR="009653BB" w:rsidRDefault="009653BB" w:rsidP="009653BB">
      <w:pPr>
        <w:pStyle w:val="ListParagraph"/>
        <w:numPr>
          <w:ilvl w:val="2"/>
          <w:numId w:val="6"/>
        </w:numPr>
        <w:shd w:val="clear" w:color="auto" w:fill="FFFFFF"/>
        <w:spacing w:before="100" w:beforeAutospacing="1" w:after="100" w:afterAutospacing="1" w:line="330" w:lineRule="atLeast"/>
        <w:rPr>
          <w:rFonts w:ascii="Arial" w:eastAsia="Times New Roman" w:hAnsi="Arial" w:cs="Arial"/>
          <w:bCs/>
          <w:color w:val="333333"/>
          <w:sz w:val="24"/>
          <w:szCs w:val="27"/>
        </w:rPr>
      </w:pPr>
      <w:bookmarkStart w:id="34" w:name="_Toc14265183"/>
      <w:r w:rsidRPr="009E34B5">
        <w:rPr>
          <w:rFonts w:ascii="Arial" w:eastAsia="Times New Roman" w:hAnsi="Arial" w:cs="Arial"/>
          <w:b/>
          <w:bCs/>
          <w:color w:val="333333"/>
          <w:sz w:val="24"/>
          <w:szCs w:val="27"/>
        </w:rPr>
        <w:t>Private Business Use</w:t>
      </w:r>
      <w:r w:rsidRPr="009E34B5">
        <w:rPr>
          <w:rFonts w:ascii="Arial" w:eastAsia="Times New Roman" w:hAnsi="Arial" w:cs="Arial"/>
          <w:bCs/>
          <w:color w:val="333333"/>
          <w:sz w:val="24"/>
          <w:szCs w:val="27"/>
        </w:rPr>
        <w:t xml:space="preserve"> - All service centers should be aware of the potential for private business use (PBU). PBU is actual or beneficial use of tax-exempt bond financed property by any person or organization other than a Section 501(c) (3) organization such as the borrower, or an affiliate, pursuing its exempt purposes or (2) a state or local government. Any direct or indirect use of tax-exempt bond financed property at VCU, other than by VCU (or another non-profit) for its exempt purposes, may result in PBU. </w:t>
      </w:r>
    </w:p>
    <w:p w:rsidR="009653BB" w:rsidRPr="009E34B5" w:rsidRDefault="009653BB" w:rsidP="009653BB">
      <w:pPr>
        <w:pStyle w:val="ListParagraph"/>
        <w:shd w:val="clear" w:color="auto" w:fill="FFFFFF"/>
        <w:spacing w:before="100" w:beforeAutospacing="1" w:after="100" w:afterAutospacing="1" w:line="330" w:lineRule="atLeast"/>
        <w:ind w:left="2070"/>
        <w:rPr>
          <w:rFonts w:ascii="Arial" w:eastAsia="Times New Roman" w:hAnsi="Arial" w:cs="Arial"/>
          <w:bCs/>
          <w:color w:val="333333"/>
          <w:sz w:val="24"/>
          <w:szCs w:val="27"/>
        </w:rPr>
      </w:pPr>
      <w:r w:rsidRPr="009E34B5">
        <w:rPr>
          <w:rFonts w:ascii="Arial" w:eastAsia="Times New Roman" w:hAnsi="Arial" w:cs="Arial"/>
          <w:bCs/>
          <w:color w:val="333333"/>
          <w:sz w:val="24"/>
          <w:szCs w:val="27"/>
        </w:rPr>
        <w:t xml:space="preserve">All management contracts, naming rights agreements, lease agreements, or any other agreement for the use of space by a non-governmental entity (i.e., space used by an entity or individual other than by the </w:t>
      </w:r>
      <w:r>
        <w:rPr>
          <w:rFonts w:ascii="Arial" w:eastAsia="Times New Roman" w:hAnsi="Arial" w:cs="Arial"/>
          <w:bCs/>
          <w:color w:val="333333"/>
          <w:sz w:val="24"/>
          <w:szCs w:val="27"/>
        </w:rPr>
        <w:t>u</w:t>
      </w:r>
      <w:r w:rsidRPr="009E34B5">
        <w:rPr>
          <w:rFonts w:ascii="Arial" w:eastAsia="Times New Roman" w:hAnsi="Arial" w:cs="Arial"/>
          <w:bCs/>
          <w:color w:val="333333"/>
          <w:sz w:val="24"/>
          <w:szCs w:val="27"/>
        </w:rPr>
        <w:t xml:space="preserve">niversity), in which tax-exempt bonds were issued and remain outstanding for a building, require notice to the Treasurer’s Office for review of any potential PBU. Applied research sponsored by the federal government or a private business may also result in private business use, and potential PBU activity is monitored by the Treasurer's Office. Please contact the Treasury Department at </w:t>
      </w:r>
      <w:hyperlink r:id="rId11" w:history="1">
        <w:r w:rsidRPr="00997BFE">
          <w:rPr>
            <w:rStyle w:val="Hyperlink"/>
            <w:rFonts w:ascii="Arial" w:eastAsia="Times New Roman" w:hAnsi="Arial" w:cs="Arial"/>
            <w:bCs/>
            <w:sz w:val="24"/>
            <w:szCs w:val="27"/>
          </w:rPr>
          <w:t>TRESREPORT@vcu.edu</w:t>
        </w:r>
      </w:hyperlink>
      <w:r w:rsidRPr="009E34B5">
        <w:rPr>
          <w:rFonts w:ascii="Arial" w:eastAsia="Times New Roman" w:hAnsi="Arial" w:cs="Arial"/>
          <w:bCs/>
          <w:color w:val="333333"/>
          <w:sz w:val="24"/>
          <w:szCs w:val="27"/>
        </w:rPr>
        <w:t xml:space="preserve"> for assistance with potential PBU issues.</w:t>
      </w:r>
      <w:bookmarkEnd w:id="34"/>
    </w:p>
    <w:p w:rsidR="009653BB" w:rsidRDefault="009653BB" w:rsidP="009653BB">
      <w:pPr>
        <w:numPr>
          <w:ilvl w:val="2"/>
          <w:numId w:val="6"/>
        </w:numPr>
        <w:shd w:val="clear" w:color="auto" w:fill="FFFFFF"/>
        <w:spacing w:before="100" w:beforeAutospacing="1" w:after="100" w:afterAutospacing="1" w:line="330" w:lineRule="atLeast"/>
        <w:rPr>
          <w:rFonts w:ascii="Arial" w:eastAsia="Times New Roman" w:hAnsi="Arial" w:cs="Arial"/>
          <w:bCs/>
          <w:color w:val="333333"/>
          <w:sz w:val="24"/>
          <w:szCs w:val="27"/>
        </w:rPr>
      </w:pPr>
      <w:bookmarkStart w:id="35" w:name="_Toc14265184"/>
      <w:r w:rsidRPr="00EE23EE">
        <w:rPr>
          <w:rFonts w:ascii="Arial" w:eastAsia="Times New Roman" w:hAnsi="Arial" w:cs="Arial"/>
          <w:b/>
          <w:bCs/>
          <w:color w:val="333333"/>
          <w:sz w:val="24"/>
          <w:szCs w:val="27"/>
        </w:rPr>
        <w:t>Unrelated Business Income Tax (UBIT)</w:t>
      </w:r>
      <w:r w:rsidRPr="00EE23EE">
        <w:rPr>
          <w:rFonts w:ascii="Arial" w:eastAsia="Times New Roman" w:hAnsi="Arial" w:cs="Arial"/>
          <w:bCs/>
          <w:color w:val="333333"/>
          <w:sz w:val="24"/>
          <w:szCs w:val="27"/>
        </w:rPr>
        <w:t xml:space="preserve"> - A business activity generates unrelated business income subject to taxation if the following three conditions are met:</w:t>
      </w:r>
      <w:bookmarkEnd w:id="35"/>
    </w:p>
    <w:p w:rsidR="009653BB" w:rsidRPr="00D52C1D" w:rsidRDefault="009653BB" w:rsidP="009653BB">
      <w:pPr>
        <w:pStyle w:val="NoSpacing"/>
        <w:ind w:left="2070"/>
        <w:rPr>
          <w:rFonts w:ascii="Arial" w:eastAsia="Times New Roman" w:hAnsi="Arial" w:cs="Arial"/>
          <w:sz w:val="24"/>
          <w:szCs w:val="24"/>
        </w:rPr>
      </w:pPr>
      <w:bookmarkStart w:id="36" w:name="_Toc14265185"/>
      <w:r w:rsidRPr="00D52C1D">
        <w:rPr>
          <w:rFonts w:ascii="Arial" w:eastAsia="Times New Roman" w:hAnsi="Arial" w:cs="Arial"/>
          <w:sz w:val="24"/>
          <w:szCs w:val="24"/>
        </w:rPr>
        <w:t>It is a trade or business,</w:t>
      </w:r>
      <w:bookmarkStart w:id="37" w:name="_Toc14265186"/>
      <w:bookmarkEnd w:id="36"/>
    </w:p>
    <w:p w:rsidR="009653BB" w:rsidRPr="00D52C1D" w:rsidRDefault="009653BB" w:rsidP="009653BB">
      <w:pPr>
        <w:pStyle w:val="NoSpacing"/>
        <w:ind w:left="2070"/>
        <w:rPr>
          <w:rFonts w:ascii="Arial" w:eastAsia="Times New Roman" w:hAnsi="Arial" w:cs="Arial"/>
          <w:sz w:val="24"/>
          <w:szCs w:val="24"/>
        </w:rPr>
      </w:pPr>
      <w:r w:rsidRPr="00D52C1D">
        <w:rPr>
          <w:rFonts w:ascii="Arial" w:eastAsia="Times New Roman" w:hAnsi="Arial" w:cs="Arial"/>
          <w:sz w:val="24"/>
          <w:szCs w:val="24"/>
        </w:rPr>
        <w:t>It is regularly carried on, and</w:t>
      </w:r>
      <w:bookmarkEnd w:id="37"/>
    </w:p>
    <w:p w:rsidR="009653BB" w:rsidRPr="00D52C1D" w:rsidRDefault="009653BB" w:rsidP="009653BB">
      <w:pPr>
        <w:pStyle w:val="NoSpacing"/>
        <w:ind w:left="2070"/>
        <w:rPr>
          <w:rFonts w:ascii="Arial" w:eastAsia="Times New Roman" w:hAnsi="Arial" w:cs="Arial"/>
          <w:sz w:val="24"/>
          <w:szCs w:val="24"/>
        </w:rPr>
      </w:pPr>
      <w:bookmarkStart w:id="38" w:name="_Toc14265187"/>
      <w:r w:rsidRPr="00D52C1D">
        <w:rPr>
          <w:rFonts w:ascii="Arial" w:eastAsia="Times New Roman" w:hAnsi="Arial" w:cs="Arial"/>
          <w:sz w:val="24"/>
          <w:szCs w:val="24"/>
        </w:rPr>
        <w:t>It is not substantially related to furthering</w:t>
      </w:r>
      <w:r w:rsidR="0056556E">
        <w:rPr>
          <w:rFonts w:ascii="Arial" w:eastAsia="Times New Roman" w:hAnsi="Arial" w:cs="Arial"/>
          <w:sz w:val="24"/>
          <w:szCs w:val="24"/>
        </w:rPr>
        <w:t xml:space="preserve"> the tax-exempt purpose of the u</w:t>
      </w:r>
      <w:r w:rsidRPr="00D52C1D">
        <w:rPr>
          <w:rFonts w:ascii="Arial" w:eastAsia="Times New Roman" w:hAnsi="Arial" w:cs="Arial"/>
          <w:sz w:val="24"/>
          <w:szCs w:val="24"/>
        </w:rPr>
        <w:t>niversity</w:t>
      </w:r>
      <w:bookmarkEnd w:id="38"/>
    </w:p>
    <w:p w:rsidR="009653BB" w:rsidRDefault="009653BB" w:rsidP="009653BB">
      <w:pPr>
        <w:shd w:val="clear" w:color="auto" w:fill="FFFFFF"/>
        <w:spacing w:before="100" w:beforeAutospacing="1" w:after="100" w:afterAutospacing="1" w:line="330" w:lineRule="atLeast"/>
        <w:ind w:left="2070"/>
        <w:rPr>
          <w:rFonts w:ascii="Arial" w:eastAsia="Times New Roman" w:hAnsi="Arial" w:cs="Arial"/>
          <w:bCs/>
          <w:color w:val="333333"/>
          <w:sz w:val="24"/>
          <w:szCs w:val="27"/>
        </w:rPr>
      </w:pPr>
      <w:bookmarkStart w:id="39" w:name="_Toc14265188"/>
      <w:r w:rsidRPr="00EE23EE">
        <w:rPr>
          <w:rFonts w:ascii="Arial" w:eastAsia="Times New Roman" w:hAnsi="Arial" w:cs="Arial"/>
          <w:bCs/>
          <w:color w:val="333333"/>
          <w:sz w:val="24"/>
          <w:szCs w:val="27"/>
        </w:rPr>
        <w:t xml:space="preserve">A trade or business includes the selling of goods or services with the intention of making a profit. An activity is regularly carried on if it occurs with a frequency and continuity, similar to what a commercial entity would do if it performed the same activity. An activity is substantially related to furthering the exempt purpose of the organization if the activity contributes importantly to accomplishing the organization's purpose, other than for the sake of producing the income itself. If external users of the service centers are being charged a rate that is higher than the </w:t>
      </w:r>
      <w:r>
        <w:rPr>
          <w:rFonts w:ascii="Arial" w:eastAsia="Times New Roman" w:hAnsi="Arial" w:cs="Arial"/>
          <w:bCs/>
          <w:color w:val="333333"/>
          <w:sz w:val="24"/>
          <w:szCs w:val="27"/>
        </w:rPr>
        <w:t>u</w:t>
      </w:r>
      <w:r w:rsidRPr="00EE23EE">
        <w:rPr>
          <w:rFonts w:ascii="Arial" w:eastAsia="Times New Roman" w:hAnsi="Arial" w:cs="Arial"/>
          <w:bCs/>
          <w:color w:val="333333"/>
          <w:sz w:val="24"/>
          <w:szCs w:val="27"/>
        </w:rPr>
        <w:t xml:space="preserve">niversity’s aggregate cost of the goods and services provided, there may be a liability for unrelated business income tax. Under most circumstances the services centers will not meet the three tests for UBIT, however if profits are made over an extended period of time, the tax department may be required to report this income to the IRS and the </w:t>
      </w:r>
      <w:r>
        <w:rPr>
          <w:rFonts w:ascii="Arial" w:eastAsia="Times New Roman" w:hAnsi="Arial" w:cs="Arial"/>
          <w:bCs/>
          <w:color w:val="333333"/>
          <w:sz w:val="24"/>
          <w:szCs w:val="27"/>
        </w:rPr>
        <w:t>u</w:t>
      </w:r>
      <w:r w:rsidRPr="00EE23EE">
        <w:rPr>
          <w:rFonts w:ascii="Arial" w:eastAsia="Times New Roman" w:hAnsi="Arial" w:cs="Arial"/>
          <w:bCs/>
          <w:color w:val="333333"/>
          <w:sz w:val="24"/>
          <w:szCs w:val="27"/>
        </w:rPr>
        <w:t xml:space="preserve">niversity may have a UBIT liability. Please contact </w:t>
      </w:r>
      <w:r w:rsidRPr="00754AF0">
        <w:rPr>
          <w:rFonts w:ascii="Arial" w:eastAsia="Times New Roman" w:hAnsi="Arial" w:cs="Arial"/>
          <w:bCs/>
          <w:color w:val="333333"/>
          <w:sz w:val="24"/>
          <w:szCs w:val="27"/>
        </w:rPr>
        <w:t>the university Controller’s office</w:t>
      </w:r>
      <w:r w:rsidRPr="00EE23EE">
        <w:rPr>
          <w:rFonts w:ascii="Arial" w:eastAsia="Times New Roman" w:hAnsi="Arial" w:cs="Arial"/>
          <w:bCs/>
          <w:color w:val="333333"/>
          <w:sz w:val="24"/>
          <w:szCs w:val="27"/>
        </w:rPr>
        <w:t xml:space="preserve"> for more information or with any potential concerns</w:t>
      </w:r>
      <w:bookmarkEnd w:id="39"/>
    </w:p>
    <w:p w:rsidR="009653BB" w:rsidRPr="00EE23EE" w:rsidRDefault="009653BB" w:rsidP="009653BB">
      <w:pPr>
        <w:numPr>
          <w:ilvl w:val="2"/>
          <w:numId w:val="6"/>
        </w:numPr>
        <w:shd w:val="clear" w:color="auto" w:fill="FFFFFF"/>
        <w:spacing w:before="100" w:beforeAutospacing="1" w:after="100" w:afterAutospacing="1" w:line="330" w:lineRule="atLeast"/>
        <w:rPr>
          <w:rFonts w:ascii="Arial" w:eastAsia="Times New Roman" w:hAnsi="Arial" w:cs="Arial"/>
          <w:bCs/>
          <w:color w:val="333333"/>
          <w:sz w:val="24"/>
          <w:szCs w:val="27"/>
        </w:rPr>
      </w:pPr>
      <w:bookmarkStart w:id="40" w:name="_Toc14265189"/>
      <w:r>
        <w:rPr>
          <w:rFonts w:ascii="Arial" w:eastAsia="Times New Roman" w:hAnsi="Arial" w:cs="Arial"/>
          <w:b/>
          <w:bCs/>
          <w:color w:val="333333"/>
          <w:sz w:val="24"/>
          <w:szCs w:val="27"/>
        </w:rPr>
        <w:t>Sales Tax</w:t>
      </w:r>
      <w:r>
        <w:rPr>
          <w:rFonts w:ascii="Arial" w:eastAsia="Times New Roman" w:hAnsi="Arial" w:cs="Arial"/>
          <w:bCs/>
          <w:color w:val="333333"/>
          <w:sz w:val="24"/>
          <w:szCs w:val="27"/>
        </w:rPr>
        <w:t xml:space="preserve"> - </w:t>
      </w:r>
      <w:r w:rsidRPr="00B26DA0">
        <w:rPr>
          <w:rFonts w:ascii="Arial" w:eastAsia="Times New Roman" w:hAnsi="Arial" w:cs="Arial"/>
          <w:bCs/>
          <w:color w:val="333333"/>
          <w:sz w:val="24"/>
          <w:szCs w:val="27"/>
        </w:rPr>
        <w:t>Sales of goods to external users are generally subject to sales tax. Sales tax, equivalent to the sales tax rate times the sale price, should be collected from the customer</w:t>
      </w:r>
      <w:r>
        <w:rPr>
          <w:rFonts w:ascii="Arial" w:eastAsia="Times New Roman" w:hAnsi="Arial" w:cs="Arial"/>
          <w:bCs/>
          <w:color w:val="333333"/>
          <w:sz w:val="24"/>
          <w:szCs w:val="27"/>
        </w:rPr>
        <w:t xml:space="preserve"> in the state of Virginia</w:t>
      </w:r>
      <w:r w:rsidRPr="00B26DA0">
        <w:rPr>
          <w:rFonts w:ascii="Arial" w:eastAsia="Times New Roman" w:hAnsi="Arial" w:cs="Arial"/>
          <w:bCs/>
          <w:color w:val="333333"/>
          <w:sz w:val="24"/>
          <w:szCs w:val="27"/>
        </w:rPr>
        <w:t xml:space="preserve">. If the external user has a valid sales tax exemption certificate for </w:t>
      </w:r>
      <w:r>
        <w:rPr>
          <w:rFonts w:ascii="Arial" w:eastAsia="Times New Roman" w:hAnsi="Arial" w:cs="Arial"/>
          <w:bCs/>
          <w:color w:val="333333"/>
          <w:sz w:val="24"/>
          <w:szCs w:val="27"/>
        </w:rPr>
        <w:t>Virginia</w:t>
      </w:r>
      <w:r w:rsidRPr="00B26DA0">
        <w:rPr>
          <w:rFonts w:ascii="Arial" w:eastAsia="Times New Roman" w:hAnsi="Arial" w:cs="Arial"/>
          <w:bCs/>
          <w:color w:val="333333"/>
          <w:sz w:val="24"/>
          <w:szCs w:val="27"/>
        </w:rPr>
        <w:t>, the certificate must be collected from the external party and sales tax need not be collected or charged. Internal users are not charged sa</w:t>
      </w:r>
      <w:r w:rsidR="0056556E">
        <w:rPr>
          <w:rFonts w:ascii="Arial" w:eastAsia="Times New Roman" w:hAnsi="Arial" w:cs="Arial"/>
          <w:bCs/>
          <w:color w:val="333333"/>
          <w:sz w:val="24"/>
          <w:szCs w:val="27"/>
        </w:rPr>
        <w:t>les tax on items purchased for u</w:t>
      </w:r>
      <w:r w:rsidRPr="00B26DA0">
        <w:rPr>
          <w:rFonts w:ascii="Arial" w:eastAsia="Times New Roman" w:hAnsi="Arial" w:cs="Arial"/>
          <w:bCs/>
          <w:color w:val="333333"/>
          <w:sz w:val="24"/>
          <w:szCs w:val="27"/>
        </w:rPr>
        <w:t xml:space="preserve">niversity use. </w:t>
      </w:r>
      <w:r w:rsidRPr="00C34AAC">
        <w:rPr>
          <w:rFonts w:ascii="Arial" w:eastAsia="Times New Roman" w:hAnsi="Arial" w:cs="Arial"/>
          <w:bCs/>
          <w:color w:val="333333"/>
          <w:sz w:val="24"/>
          <w:szCs w:val="27"/>
        </w:rPr>
        <w:t xml:space="preserve">Please contact the </w:t>
      </w:r>
      <w:r w:rsidR="000F1749">
        <w:rPr>
          <w:rFonts w:ascii="Arial" w:eastAsia="Times New Roman" w:hAnsi="Arial" w:cs="Arial"/>
          <w:bCs/>
          <w:color w:val="333333"/>
          <w:sz w:val="24"/>
          <w:szCs w:val="27"/>
        </w:rPr>
        <w:t>university c</w:t>
      </w:r>
      <w:r w:rsidRPr="00C34AAC">
        <w:rPr>
          <w:rFonts w:ascii="Arial" w:eastAsia="Times New Roman" w:hAnsi="Arial" w:cs="Arial"/>
          <w:bCs/>
          <w:color w:val="333333"/>
          <w:sz w:val="24"/>
          <w:szCs w:val="27"/>
        </w:rPr>
        <w:t>ontroller’s office for more information or with any potential concerns</w:t>
      </w:r>
      <w:bookmarkEnd w:id="40"/>
    </w:p>
    <w:p w:rsidR="000F1749" w:rsidRDefault="000F1749" w:rsidP="009653BB">
      <w:pPr>
        <w:shd w:val="clear" w:color="auto" w:fill="FFFFFF"/>
        <w:spacing w:before="100" w:beforeAutospacing="1" w:after="100" w:afterAutospacing="1" w:line="330" w:lineRule="atLeast"/>
        <w:ind w:left="1440"/>
        <w:rPr>
          <w:rFonts w:ascii="Arial" w:eastAsia="Times New Roman" w:hAnsi="Arial" w:cs="Arial"/>
          <w:b/>
          <w:bCs/>
          <w:color w:val="333333"/>
          <w:sz w:val="24"/>
          <w:szCs w:val="27"/>
        </w:rPr>
      </w:pPr>
    </w:p>
    <w:p w:rsidR="000F1749" w:rsidRPr="00FE2A5F" w:rsidRDefault="000F1749" w:rsidP="000F1749">
      <w:pPr>
        <w:shd w:val="clear" w:color="auto" w:fill="FFFFFF"/>
        <w:spacing w:before="100" w:beforeAutospacing="1" w:after="100" w:afterAutospacing="1" w:line="330" w:lineRule="atLeast"/>
        <w:ind w:left="720"/>
        <w:outlineLvl w:val="2"/>
        <w:rPr>
          <w:rFonts w:ascii="Arial" w:eastAsia="Times New Roman" w:hAnsi="Arial" w:cs="Arial"/>
          <w:b/>
          <w:bCs/>
          <w:color w:val="333333"/>
          <w:sz w:val="27"/>
          <w:szCs w:val="27"/>
        </w:rPr>
      </w:pPr>
      <w:r w:rsidRPr="00FE2A5F">
        <w:rPr>
          <w:rFonts w:ascii="Arial" w:eastAsia="Times New Roman" w:hAnsi="Arial" w:cs="Arial"/>
          <w:b/>
          <w:bCs/>
          <w:color w:val="333333"/>
          <w:sz w:val="27"/>
          <w:szCs w:val="27"/>
        </w:rPr>
        <w:t>Review of Service Centers</w:t>
      </w:r>
    </w:p>
    <w:p w:rsidR="000F1749" w:rsidRDefault="000F1749" w:rsidP="001B304F">
      <w:pPr>
        <w:numPr>
          <w:ilvl w:val="1"/>
          <w:numId w:val="10"/>
        </w:numPr>
        <w:shd w:val="clear" w:color="auto" w:fill="FFFFFF"/>
        <w:spacing w:after="0" w:line="330" w:lineRule="atLeast"/>
        <w:rPr>
          <w:rFonts w:ascii="Arial" w:eastAsia="Times New Roman" w:hAnsi="Arial" w:cs="Arial"/>
          <w:color w:val="333333"/>
          <w:sz w:val="24"/>
          <w:szCs w:val="24"/>
        </w:rPr>
      </w:pPr>
      <w:r w:rsidRPr="000F1749">
        <w:rPr>
          <w:rFonts w:ascii="Arial" w:eastAsia="Times New Roman" w:hAnsi="Arial" w:cs="Arial"/>
          <w:color w:val="333333"/>
          <w:sz w:val="24"/>
          <w:szCs w:val="24"/>
        </w:rPr>
        <w:t xml:space="preserve">The </w:t>
      </w:r>
      <w:r>
        <w:rPr>
          <w:rFonts w:ascii="Arial" w:eastAsia="Times New Roman" w:hAnsi="Arial" w:cs="Arial"/>
          <w:color w:val="333333"/>
          <w:sz w:val="24"/>
          <w:szCs w:val="24"/>
        </w:rPr>
        <w:t xml:space="preserve">office of </w:t>
      </w:r>
      <w:r w:rsidRPr="000F1749">
        <w:rPr>
          <w:rFonts w:ascii="Arial" w:eastAsia="Times New Roman" w:hAnsi="Arial" w:cs="Arial"/>
          <w:color w:val="333333"/>
          <w:sz w:val="24"/>
          <w:szCs w:val="24"/>
        </w:rPr>
        <w:t>cost analys</w:t>
      </w:r>
      <w:r>
        <w:rPr>
          <w:rFonts w:ascii="Arial" w:eastAsia="Times New Roman" w:hAnsi="Arial" w:cs="Arial"/>
          <w:color w:val="333333"/>
          <w:sz w:val="24"/>
          <w:szCs w:val="24"/>
        </w:rPr>
        <w:t>is</w:t>
      </w:r>
      <w:r w:rsidRPr="000F1749">
        <w:rPr>
          <w:rFonts w:ascii="Arial" w:eastAsia="Times New Roman" w:hAnsi="Arial" w:cs="Arial"/>
          <w:color w:val="333333"/>
          <w:sz w:val="24"/>
          <w:szCs w:val="24"/>
        </w:rPr>
        <w:t xml:space="preserve"> in the controller’s office will </w:t>
      </w:r>
      <w:r w:rsidRPr="000F1749">
        <w:rPr>
          <w:rFonts w:ascii="Arial" w:eastAsia="Times New Roman" w:hAnsi="Arial" w:cs="Arial"/>
          <w:color w:val="333333"/>
          <w:sz w:val="24"/>
          <w:szCs w:val="24"/>
        </w:rPr>
        <w:t>oversee implementation of th</w:t>
      </w:r>
      <w:r w:rsidRPr="000F1749">
        <w:rPr>
          <w:rFonts w:ascii="Arial" w:eastAsia="Times New Roman" w:hAnsi="Arial" w:cs="Arial"/>
          <w:color w:val="333333"/>
          <w:sz w:val="24"/>
          <w:szCs w:val="24"/>
        </w:rPr>
        <w:t>ese procedures</w:t>
      </w:r>
      <w:r w:rsidRPr="000F1749">
        <w:rPr>
          <w:rFonts w:ascii="Arial" w:eastAsia="Times New Roman" w:hAnsi="Arial" w:cs="Arial"/>
          <w:color w:val="333333"/>
          <w:sz w:val="24"/>
          <w:szCs w:val="24"/>
        </w:rPr>
        <w:t xml:space="preserve">. </w:t>
      </w:r>
    </w:p>
    <w:p w:rsidR="000F1749" w:rsidRPr="000F1749" w:rsidRDefault="000F1749" w:rsidP="001B304F">
      <w:pPr>
        <w:numPr>
          <w:ilvl w:val="1"/>
          <w:numId w:val="10"/>
        </w:numPr>
        <w:shd w:val="clear" w:color="auto" w:fill="FFFFFF"/>
        <w:spacing w:after="0" w:line="330" w:lineRule="atLeast"/>
        <w:rPr>
          <w:rFonts w:ascii="Arial" w:eastAsia="Times New Roman" w:hAnsi="Arial" w:cs="Arial"/>
          <w:color w:val="333333"/>
          <w:sz w:val="24"/>
          <w:szCs w:val="24"/>
        </w:rPr>
      </w:pPr>
      <w:r w:rsidRPr="000F1749">
        <w:rPr>
          <w:rFonts w:ascii="Arial" w:eastAsia="Times New Roman" w:hAnsi="Arial" w:cs="Arial"/>
          <w:color w:val="333333"/>
          <w:sz w:val="24"/>
          <w:szCs w:val="24"/>
        </w:rPr>
        <w:t xml:space="preserve">The </w:t>
      </w:r>
      <w:r>
        <w:rPr>
          <w:rFonts w:ascii="Arial" w:eastAsia="Times New Roman" w:hAnsi="Arial" w:cs="Arial"/>
          <w:color w:val="333333"/>
          <w:sz w:val="24"/>
          <w:szCs w:val="24"/>
        </w:rPr>
        <w:t>o</w:t>
      </w:r>
      <w:r w:rsidRPr="000F1749">
        <w:rPr>
          <w:rFonts w:ascii="Arial" w:eastAsia="Times New Roman" w:hAnsi="Arial" w:cs="Arial"/>
          <w:color w:val="333333"/>
          <w:sz w:val="24"/>
          <w:szCs w:val="24"/>
        </w:rPr>
        <w:t xml:space="preserve">ffice of </w:t>
      </w:r>
      <w:r>
        <w:rPr>
          <w:rFonts w:ascii="Arial" w:eastAsia="Times New Roman" w:hAnsi="Arial" w:cs="Arial"/>
          <w:color w:val="333333"/>
          <w:sz w:val="24"/>
          <w:szCs w:val="24"/>
        </w:rPr>
        <w:t>c</w:t>
      </w:r>
      <w:r w:rsidRPr="000F1749">
        <w:rPr>
          <w:rFonts w:ascii="Arial" w:eastAsia="Times New Roman" w:hAnsi="Arial" w:cs="Arial"/>
          <w:color w:val="333333"/>
          <w:sz w:val="24"/>
          <w:szCs w:val="24"/>
        </w:rPr>
        <w:t xml:space="preserve">ost </w:t>
      </w:r>
      <w:r>
        <w:rPr>
          <w:rFonts w:ascii="Arial" w:eastAsia="Times New Roman" w:hAnsi="Arial" w:cs="Arial"/>
          <w:color w:val="333333"/>
          <w:sz w:val="24"/>
          <w:szCs w:val="24"/>
        </w:rPr>
        <w:t>a</w:t>
      </w:r>
      <w:r w:rsidRPr="000F1749">
        <w:rPr>
          <w:rFonts w:ascii="Arial" w:eastAsia="Times New Roman" w:hAnsi="Arial" w:cs="Arial"/>
          <w:color w:val="333333"/>
          <w:sz w:val="24"/>
          <w:szCs w:val="24"/>
        </w:rPr>
        <w:t xml:space="preserve">nalysis will make periodic reviews of the financial operations of service centers. These reviews will focus on the development of billing rates, the handling of surpluses and deficits, and the adequacy of the service center’s record keeping procedures. Any major problems that arise in these reviews will be </w:t>
      </w:r>
      <w:r>
        <w:rPr>
          <w:rFonts w:ascii="Arial" w:eastAsia="Times New Roman" w:hAnsi="Arial" w:cs="Arial"/>
          <w:color w:val="333333"/>
          <w:sz w:val="24"/>
          <w:szCs w:val="24"/>
        </w:rPr>
        <w:t>discussed with the school or unit responsible for management of the service center.</w:t>
      </w:r>
    </w:p>
    <w:p w:rsidR="000F1749" w:rsidRPr="00FE2A5F" w:rsidRDefault="000F1749" w:rsidP="000F1749">
      <w:pPr>
        <w:numPr>
          <w:ilvl w:val="1"/>
          <w:numId w:val="10"/>
        </w:numPr>
        <w:shd w:val="clear" w:color="auto" w:fill="FFFFFF"/>
        <w:spacing w:after="0" w:line="330" w:lineRule="atLeast"/>
        <w:rPr>
          <w:rFonts w:ascii="Arial" w:eastAsia="Times New Roman" w:hAnsi="Arial" w:cs="Arial"/>
          <w:color w:val="333333"/>
          <w:sz w:val="24"/>
          <w:szCs w:val="24"/>
        </w:rPr>
      </w:pPr>
      <w:r w:rsidRPr="00FE2A5F">
        <w:rPr>
          <w:rFonts w:ascii="Arial" w:eastAsia="Times New Roman" w:hAnsi="Arial" w:cs="Arial"/>
          <w:color w:val="333333"/>
          <w:sz w:val="24"/>
          <w:szCs w:val="24"/>
        </w:rPr>
        <w:t xml:space="preserve">Every odd fiscal year (i.e., FY15, FY17), the </w:t>
      </w:r>
      <w:r>
        <w:rPr>
          <w:rFonts w:ascii="Arial" w:eastAsia="Times New Roman" w:hAnsi="Arial" w:cs="Arial"/>
          <w:color w:val="333333"/>
          <w:sz w:val="24"/>
          <w:szCs w:val="24"/>
        </w:rPr>
        <w:t>o</w:t>
      </w:r>
      <w:r w:rsidRPr="00FE2A5F">
        <w:rPr>
          <w:rFonts w:ascii="Arial" w:eastAsia="Times New Roman" w:hAnsi="Arial" w:cs="Arial"/>
          <w:color w:val="333333"/>
          <w:sz w:val="24"/>
          <w:szCs w:val="24"/>
        </w:rPr>
        <w:t xml:space="preserve">ffice of </w:t>
      </w:r>
      <w:r>
        <w:rPr>
          <w:rFonts w:ascii="Arial" w:eastAsia="Times New Roman" w:hAnsi="Arial" w:cs="Arial"/>
          <w:color w:val="333333"/>
          <w:sz w:val="24"/>
          <w:szCs w:val="24"/>
        </w:rPr>
        <w:t>c</w:t>
      </w:r>
      <w:r w:rsidRPr="00FE2A5F">
        <w:rPr>
          <w:rFonts w:ascii="Arial" w:eastAsia="Times New Roman" w:hAnsi="Arial" w:cs="Arial"/>
          <w:color w:val="333333"/>
          <w:sz w:val="24"/>
          <w:szCs w:val="24"/>
        </w:rPr>
        <w:t xml:space="preserve">ost </w:t>
      </w:r>
      <w:r>
        <w:rPr>
          <w:rFonts w:ascii="Arial" w:eastAsia="Times New Roman" w:hAnsi="Arial" w:cs="Arial"/>
          <w:color w:val="333333"/>
          <w:sz w:val="24"/>
          <w:szCs w:val="24"/>
        </w:rPr>
        <w:t>a</w:t>
      </w:r>
      <w:r w:rsidRPr="00FE2A5F">
        <w:rPr>
          <w:rFonts w:ascii="Arial" w:eastAsia="Times New Roman" w:hAnsi="Arial" w:cs="Arial"/>
          <w:color w:val="333333"/>
          <w:sz w:val="24"/>
          <w:szCs w:val="24"/>
        </w:rPr>
        <w:t>nalysis will send established and potential service centers a questionnaire inquiring about the center’s general function, current rate s</w:t>
      </w:r>
      <w:r w:rsidR="0056556E">
        <w:rPr>
          <w:rFonts w:ascii="Arial" w:eastAsia="Times New Roman" w:hAnsi="Arial" w:cs="Arial"/>
          <w:color w:val="333333"/>
          <w:sz w:val="24"/>
          <w:szCs w:val="24"/>
        </w:rPr>
        <w:t>chedule, indexes set up in the u</w:t>
      </w:r>
      <w:r w:rsidRPr="00FE2A5F">
        <w:rPr>
          <w:rFonts w:ascii="Arial" w:eastAsia="Times New Roman" w:hAnsi="Arial" w:cs="Arial"/>
          <w:color w:val="333333"/>
          <w:sz w:val="24"/>
          <w:szCs w:val="24"/>
        </w:rPr>
        <w:t>niversity’s Banner system, etc.</w:t>
      </w:r>
    </w:p>
    <w:p w:rsidR="000F1749" w:rsidRDefault="000F1749" w:rsidP="009653BB">
      <w:pPr>
        <w:shd w:val="clear" w:color="auto" w:fill="FFFFFF"/>
        <w:spacing w:before="100" w:beforeAutospacing="1" w:after="100" w:afterAutospacing="1" w:line="330" w:lineRule="atLeast"/>
        <w:ind w:left="1440"/>
        <w:rPr>
          <w:rFonts w:ascii="Arial" w:eastAsia="Times New Roman" w:hAnsi="Arial" w:cs="Arial"/>
          <w:b/>
          <w:bCs/>
          <w:color w:val="333333"/>
          <w:sz w:val="24"/>
          <w:szCs w:val="27"/>
        </w:rPr>
      </w:pPr>
    </w:p>
    <w:p w:rsidR="00494BFB" w:rsidRPr="00494BFB" w:rsidRDefault="00494BFB" w:rsidP="009653BB">
      <w:pPr>
        <w:shd w:val="clear" w:color="auto" w:fill="FFFFFF"/>
        <w:spacing w:before="100" w:beforeAutospacing="1" w:after="100" w:afterAutospacing="1" w:line="330" w:lineRule="atLeast"/>
        <w:ind w:left="1440"/>
        <w:rPr>
          <w:rFonts w:ascii="Arial" w:eastAsia="Times New Roman" w:hAnsi="Arial" w:cs="Arial"/>
          <w:b/>
          <w:bCs/>
          <w:color w:val="333333"/>
          <w:sz w:val="24"/>
          <w:szCs w:val="27"/>
        </w:rPr>
      </w:pPr>
      <w:r w:rsidRPr="00494BFB">
        <w:rPr>
          <w:rFonts w:ascii="Arial" w:eastAsia="Times New Roman" w:hAnsi="Arial" w:cs="Arial"/>
          <w:b/>
          <w:bCs/>
          <w:color w:val="333333"/>
          <w:sz w:val="24"/>
          <w:szCs w:val="27"/>
        </w:rPr>
        <w:t>Dissolution of Service Centers</w:t>
      </w:r>
    </w:p>
    <w:p w:rsidR="009653BB" w:rsidRPr="00EE23EE" w:rsidRDefault="009653BB"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7"/>
        </w:rPr>
      </w:pPr>
      <w:r w:rsidRPr="00EE23EE">
        <w:rPr>
          <w:rFonts w:ascii="Arial" w:eastAsia="Times New Roman" w:hAnsi="Arial" w:cs="Arial"/>
          <w:bCs/>
          <w:color w:val="333333"/>
          <w:sz w:val="24"/>
          <w:szCs w:val="27"/>
        </w:rPr>
        <w:t>A service center may be closed if it is deemed to be no longer necessary and/or viable. Approval is required from senior leadership within the business unit prior to closing an Academic Service Center. Other close-out procedures for the closing service center include:</w:t>
      </w:r>
    </w:p>
    <w:p w:rsidR="009653BB" w:rsidRPr="00EE23EE" w:rsidRDefault="009653BB" w:rsidP="009653BB">
      <w:pPr>
        <w:numPr>
          <w:ilvl w:val="2"/>
          <w:numId w:val="7"/>
        </w:numPr>
        <w:shd w:val="clear" w:color="auto" w:fill="FFFFFF"/>
        <w:spacing w:before="100" w:beforeAutospacing="1" w:after="100" w:afterAutospacing="1" w:line="330" w:lineRule="atLeast"/>
        <w:rPr>
          <w:rFonts w:ascii="Arial" w:eastAsia="Times New Roman" w:hAnsi="Arial" w:cs="Arial"/>
          <w:bCs/>
          <w:color w:val="333333"/>
          <w:sz w:val="24"/>
          <w:szCs w:val="27"/>
        </w:rPr>
      </w:pPr>
      <w:r w:rsidRPr="00EE23EE">
        <w:rPr>
          <w:rFonts w:ascii="Arial" w:eastAsia="Times New Roman" w:hAnsi="Arial" w:cs="Arial"/>
          <w:bCs/>
          <w:color w:val="333333"/>
          <w:sz w:val="24"/>
          <w:szCs w:val="27"/>
        </w:rPr>
        <w:t xml:space="preserve">Notify the </w:t>
      </w:r>
      <w:r w:rsidR="000F1749">
        <w:rPr>
          <w:rFonts w:ascii="Arial" w:eastAsia="Times New Roman" w:hAnsi="Arial" w:cs="Arial"/>
          <w:bCs/>
          <w:color w:val="333333"/>
          <w:sz w:val="24"/>
          <w:szCs w:val="27"/>
        </w:rPr>
        <w:t>u</w:t>
      </w:r>
      <w:r>
        <w:rPr>
          <w:rFonts w:ascii="Arial" w:eastAsia="Times New Roman" w:hAnsi="Arial" w:cs="Arial"/>
          <w:bCs/>
          <w:color w:val="333333"/>
          <w:sz w:val="24"/>
          <w:szCs w:val="27"/>
        </w:rPr>
        <w:t xml:space="preserve">niversity </w:t>
      </w:r>
      <w:r w:rsidR="000F1749">
        <w:rPr>
          <w:rFonts w:ascii="Arial" w:eastAsia="Times New Roman" w:hAnsi="Arial" w:cs="Arial"/>
          <w:bCs/>
          <w:color w:val="333333"/>
          <w:sz w:val="24"/>
          <w:szCs w:val="27"/>
        </w:rPr>
        <w:t>c</w:t>
      </w:r>
      <w:r w:rsidRPr="00EE23EE">
        <w:rPr>
          <w:rFonts w:ascii="Arial" w:eastAsia="Times New Roman" w:hAnsi="Arial" w:cs="Arial"/>
          <w:bCs/>
          <w:color w:val="333333"/>
          <w:sz w:val="24"/>
          <w:szCs w:val="27"/>
        </w:rPr>
        <w:t xml:space="preserve">ontroller’s </w:t>
      </w:r>
      <w:r w:rsidR="000F1749">
        <w:rPr>
          <w:rFonts w:ascii="Arial" w:eastAsia="Times New Roman" w:hAnsi="Arial" w:cs="Arial"/>
          <w:bCs/>
          <w:color w:val="333333"/>
          <w:sz w:val="24"/>
          <w:szCs w:val="27"/>
        </w:rPr>
        <w:t>o</w:t>
      </w:r>
      <w:r w:rsidRPr="00EE23EE">
        <w:rPr>
          <w:rFonts w:ascii="Arial" w:eastAsia="Times New Roman" w:hAnsi="Arial" w:cs="Arial"/>
          <w:bCs/>
          <w:color w:val="333333"/>
          <w:sz w:val="24"/>
          <w:szCs w:val="27"/>
        </w:rPr>
        <w:t>ffice</w:t>
      </w:r>
    </w:p>
    <w:p w:rsidR="009653BB" w:rsidRPr="00EE23EE" w:rsidRDefault="009653BB" w:rsidP="009653BB">
      <w:pPr>
        <w:numPr>
          <w:ilvl w:val="2"/>
          <w:numId w:val="7"/>
        </w:numPr>
        <w:shd w:val="clear" w:color="auto" w:fill="FFFFFF"/>
        <w:spacing w:before="100" w:beforeAutospacing="1" w:after="100" w:afterAutospacing="1" w:line="330" w:lineRule="atLeast"/>
        <w:rPr>
          <w:rFonts w:ascii="Arial" w:eastAsia="Times New Roman" w:hAnsi="Arial" w:cs="Arial"/>
          <w:bCs/>
          <w:color w:val="333333"/>
          <w:sz w:val="24"/>
          <w:szCs w:val="27"/>
        </w:rPr>
      </w:pPr>
      <w:r w:rsidRPr="00EE23EE">
        <w:rPr>
          <w:rFonts w:ascii="Arial" w:eastAsia="Times New Roman" w:hAnsi="Arial" w:cs="Arial"/>
          <w:bCs/>
          <w:color w:val="333333"/>
          <w:sz w:val="24"/>
          <w:szCs w:val="27"/>
        </w:rPr>
        <w:t xml:space="preserve">Work with the </w:t>
      </w:r>
      <w:r w:rsidR="000F1749">
        <w:rPr>
          <w:rFonts w:ascii="Arial" w:eastAsia="Times New Roman" w:hAnsi="Arial" w:cs="Arial"/>
          <w:bCs/>
          <w:color w:val="333333"/>
          <w:sz w:val="24"/>
          <w:szCs w:val="27"/>
        </w:rPr>
        <w:t>u</w:t>
      </w:r>
      <w:r>
        <w:rPr>
          <w:rFonts w:ascii="Arial" w:eastAsia="Times New Roman" w:hAnsi="Arial" w:cs="Arial"/>
          <w:bCs/>
          <w:color w:val="333333"/>
          <w:sz w:val="24"/>
          <w:szCs w:val="27"/>
        </w:rPr>
        <w:t xml:space="preserve">niversity </w:t>
      </w:r>
      <w:r w:rsidR="000F1749">
        <w:rPr>
          <w:rFonts w:ascii="Arial" w:eastAsia="Times New Roman" w:hAnsi="Arial" w:cs="Arial"/>
          <w:bCs/>
          <w:color w:val="333333"/>
          <w:sz w:val="24"/>
          <w:szCs w:val="27"/>
        </w:rPr>
        <w:t>c</w:t>
      </w:r>
      <w:r w:rsidRPr="00EE23EE">
        <w:rPr>
          <w:rFonts w:ascii="Arial" w:eastAsia="Times New Roman" w:hAnsi="Arial" w:cs="Arial"/>
          <w:bCs/>
          <w:color w:val="333333"/>
          <w:sz w:val="24"/>
          <w:szCs w:val="27"/>
        </w:rPr>
        <w:t xml:space="preserve">ontroller’s </w:t>
      </w:r>
      <w:r w:rsidR="000F1749">
        <w:rPr>
          <w:rFonts w:ascii="Arial" w:eastAsia="Times New Roman" w:hAnsi="Arial" w:cs="Arial"/>
          <w:bCs/>
          <w:color w:val="333333"/>
          <w:sz w:val="24"/>
          <w:szCs w:val="27"/>
        </w:rPr>
        <w:t>o</w:t>
      </w:r>
      <w:r w:rsidRPr="00EE23EE">
        <w:rPr>
          <w:rFonts w:ascii="Arial" w:eastAsia="Times New Roman" w:hAnsi="Arial" w:cs="Arial"/>
          <w:bCs/>
          <w:color w:val="333333"/>
          <w:sz w:val="24"/>
          <w:szCs w:val="27"/>
        </w:rPr>
        <w:t>ffice to close all accounts</w:t>
      </w:r>
    </w:p>
    <w:p w:rsidR="009653BB" w:rsidRPr="00EE23EE" w:rsidRDefault="009653BB" w:rsidP="009653BB">
      <w:pPr>
        <w:numPr>
          <w:ilvl w:val="2"/>
          <w:numId w:val="7"/>
        </w:numPr>
        <w:shd w:val="clear" w:color="auto" w:fill="FFFFFF"/>
        <w:spacing w:before="100" w:beforeAutospacing="1" w:after="100" w:afterAutospacing="1" w:line="330" w:lineRule="atLeast"/>
        <w:rPr>
          <w:rFonts w:ascii="Arial" w:eastAsia="Times New Roman" w:hAnsi="Arial" w:cs="Arial"/>
          <w:bCs/>
          <w:color w:val="333333"/>
          <w:sz w:val="24"/>
          <w:szCs w:val="27"/>
        </w:rPr>
      </w:pPr>
      <w:r w:rsidRPr="00EE23EE">
        <w:rPr>
          <w:rFonts w:ascii="Arial" w:eastAsia="Times New Roman" w:hAnsi="Arial" w:cs="Arial"/>
          <w:bCs/>
          <w:color w:val="333333"/>
          <w:sz w:val="24"/>
          <w:szCs w:val="27"/>
        </w:rPr>
        <w:t xml:space="preserve">Work with the </w:t>
      </w:r>
      <w:r w:rsidR="000F1749">
        <w:rPr>
          <w:rFonts w:ascii="Arial" w:eastAsia="Times New Roman" w:hAnsi="Arial" w:cs="Arial"/>
          <w:bCs/>
          <w:color w:val="333333"/>
          <w:sz w:val="24"/>
          <w:szCs w:val="27"/>
        </w:rPr>
        <w:t>u</w:t>
      </w:r>
      <w:r>
        <w:rPr>
          <w:rFonts w:ascii="Arial" w:eastAsia="Times New Roman" w:hAnsi="Arial" w:cs="Arial"/>
          <w:bCs/>
          <w:color w:val="333333"/>
          <w:sz w:val="24"/>
          <w:szCs w:val="27"/>
        </w:rPr>
        <w:t xml:space="preserve">niversity </w:t>
      </w:r>
      <w:r w:rsidR="000F1749">
        <w:rPr>
          <w:rFonts w:ascii="Arial" w:eastAsia="Times New Roman" w:hAnsi="Arial" w:cs="Arial"/>
          <w:bCs/>
          <w:color w:val="333333"/>
          <w:sz w:val="24"/>
          <w:szCs w:val="27"/>
        </w:rPr>
        <w:t>c</w:t>
      </w:r>
      <w:r w:rsidRPr="00EE23EE">
        <w:rPr>
          <w:rFonts w:ascii="Arial" w:eastAsia="Times New Roman" w:hAnsi="Arial" w:cs="Arial"/>
          <w:bCs/>
          <w:color w:val="333333"/>
          <w:sz w:val="24"/>
          <w:szCs w:val="27"/>
        </w:rPr>
        <w:t>ontroller’s office to determine the disposition of any service center equipment</w:t>
      </w:r>
    </w:p>
    <w:p w:rsidR="009653BB" w:rsidRPr="00EE23EE" w:rsidRDefault="009653BB" w:rsidP="009653BB">
      <w:pPr>
        <w:numPr>
          <w:ilvl w:val="2"/>
          <w:numId w:val="7"/>
        </w:numPr>
        <w:shd w:val="clear" w:color="auto" w:fill="FFFFFF"/>
        <w:spacing w:before="100" w:beforeAutospacing="1" w:after="100" w:afterAutospacing="1" w:line="330" w:lineRule="atLeast"/>
        <w:rPr>
          <w:rFonts w:ascii="Arial" w:eastAsia="Times New Roman" w:hAnsi="Arial" w:cs="Arial"/>
          <w:bCs/>
          <w:color w:val="333333"/>
          <w:sz w:val="24"/>
          <w:szCs w:val="27"/>
        </w:rPr>
      </w:pPr>
      <w:r w:rsidRPr="00EE23EE">
        <w:rPr>
          <w:rFonts w:ascii="Arial" w:eastAsia="Times New Roman" w:hAnsi="Arial" w:cs="Arial"/>
          <w:bCs/>
          <w:color w:val="333333"/>
          <w:sz w:val="24"/>
          <w:szCs w:val="27"/>
        </w:rPr>
        <w:t>All purchase order commitments should be closed out</w:t>
      </w:r>
    </w:p>
    <w:p w:rsidR="009653BB" w:rsidRPr="00EE23EE" w:rsidRDefault="009653BB" w:rsidP="009653BB">
      <w:pPr>
        <w:numPr>
          <w:ilvl w:val="2"/>
          <w:numId w:val="7"/>
        </w:numPr>
        <w:shd w:val="clear" w:color="auto" w:fill="FFFFFF"/>
        <w:spacing w:before="100" w:beforeAutospacing="1" w:after="100" w:afterAutospacing="1" w:line="330" w:lineRule="atLeast"/>
        <w:rPr>
          <w:rFonts w:ascii="Arial" w:eastAsia="Times New Roman" w:hAnsi="Arial" w:cs="Arial"/>
          <w:bCs/>
          <w:color w:val="333333"/>
          <w:sz w:val="24"/>
          <w:szCs w:val="27"/>
        </w:rPr>
      </w:pPr>
      <w:r w:rsidRPr="00EE23EE">
        <w:rPr>
          <w:rFonts w:ascii="Arial" w:eastAsia="Times New Roman" w:hAnsi="Arial" w:cs="Arial"/>
          <w:bCs/>
          <w:color w:val="333333"/>
          <w:sz w:val="24"/>
          <w:szCs w:val="27"/>
        </w:rPr>
        <w:t>Ensure all pending invoices have been paid prior to closure of the service center</w:t>
      </w:r>
    </w:p>
    <w:p w:rsidR="009653BB" w:rsidRPr="00EE23EE" w:rsidRDefault="009653BB" w:rsidP="009653BB">
      <w:pPr>
        <w:numPr>
          <w:ilvl w:val="2"/>
          <w:numId w:val="7"/>
        </w:numPr>
        <w:shd w:val="clear" w:color="auto" w:fill="FFFFFF"/>
        <w:spacing w:before="100" w:beforeAutospacing="1" w:after="100" w:afterAutospacing="1" w:line="330" w:lineRule="atLeast"/>
        <w:rPr>
          <w:rFonts w:ascii="Arial" w:eastAsia="Times New Roman" w:hAnsi="Arial" w:cs="Arial"/>
          <w:bCs/>
          <w:color w:val="333333"/>
          <w:sz w:val="24"/>
          <w:szCs w:val="27"/>
        </w:rPr>
      </w:pPr>
      <w:r w:rsidRPr="00EE23EE">
        <w:rPr>
          <w:rFonts w:ascii="Arial" w:eastAsia="Times New Roman" w:hAnsi="Arial" w:cs="Arial"/>
          <w:bCs/>
          <w:color w:val="333333"/>
          <w:sz w:val="24"/>
          <w:szCs w:val="27"/>
        </w:rPr>
        <w:t>Service center staff’s salaries need to be reassigned to another cost center</w:t>
      </w:r>
    </w:p>
    <w:p w:rsidR="009653BB" w:rsidRPr="00EE23EE" w:rsidRDefault="009653BB" w:rsidP="009653BB">
      <w:pPr>
        <w:numPr>
          <w:ilvl w:val="2"/>
          <w:numId w:val="7"/>
        </w:numPr>
        <w:shd w:val="clear" w:color="auto" w:fill="FFFFFF"/>
        <w:spacing w:before="100" w:beforeAutospacing="1" w:after="100" w:afterAutospacing="1" w:line="330" w:lineRule="atLeast"/>
        <w:rPr>
          <w:rFonts w:ascii="Arial" w:eastAsia="Times New Roman" w:hAnsi="Arial" w:cs="Arial"/>
          <w:bCs/>
          <w:color w:val="333333"/>
          <w:sz w:val="24"/>
          <w:szCs w:val="27"/>
        </w:rPr>
      </w:pPr>
      <w:r w:rsidRPr="00EE23EE">
        <w:rPr>
          <w:rFonts w:ascii="Arial" w:eastAsia="Times New Roman" w:hAnsi="Arial" w:cs="Arial"/>
          <w:bCs/>
          <w:color w:val="333333"/>
          <w:sz w:val="24"/>
          <w:szCs w:val="27"/>
        </w:rPr>
        <w:t>The service center surplus’s or deficit must be brought to zero</w:t>
      </w:r>
    </w:p>
    <w:p w:rsidR="009653BB" w:rsidRPr="00EE23EE" w:rsidRDefault="009653BB" w:rsidP="009653BB">
      <w:pPr>
        <w:shd w:val="clear" w:color="auto" w:fill="FFFFFF"/>
        <w:spacing w:before="100" w:beforeAutospacing="1" w:after="100" w:afterAutospacing="1" w:line="330" w:lineRule="atLeast"/>
        <w:ind w:left="1440"/>
        <w:rPr>
          <w:rFonts w:ascii="Arial" w:eastAsia="Times New Roman" w:hAnsi="Arial" w:cs="Arial"/>
          <w:bCs/>
          <w:color w:val="333333"/>
          <w:sz w:val="24"/>
          <w:szCs w:val="27"/>
        </w:rPr>
      </w:pPr>
      <w:r w:rsidRPr="00EE23EE">
        <w:rPr>
          <w:rFonts w:ascii="Arial" w:eastAsia="Times New Roman" w:hAnsi="Arial" w:cs="Arial"/>
          <w:bCs/>
          <w:color w:val="333333"/>
          <w:sz w:val="24"/>
          <w:szCs w:val="27"/>
        </w:rPr>
        <w:t xml:space="preserve">If operation of a service center has ceased and it is to be closed, the service center’s surplus or deficit balance must be brought to zero as part of the closing process. A deficit indicates an under-billing of costs. The cost center responsible for the operation of the service center must fund the deficit. A surplus indicates an over-billing of costs, and it may be necessary to analyze the </w:t>
      </w:r>
      <w:r>
        <w:rPr>
          <w:rFonts w:ascii="Arial" w:eastAsia="Times New Roman" w:hAnsi="Arial" w:cs="Arial"/>
          <w:bCs/>
          <w:color w:val="333333"/>
          <w:sz w:val="24"/>
          <w:szCs w:val="27"/>
        </w:rPr>
        <w:t>c</w:t>
      </w:r>
      <w:r w:rsidRPr="00EE23EE">
        <w:rPr>
          <w:rFonts w:ascii="Arial" w:eastAsia="Times New Roman" w:hAnsi="Arial" w:cs="Arial"/>
          <w:bCs/>
          <w:color w:val="333333"/>
          <w:sz w:val="24"/>
          <w:szCs w:val="27"/>
        </w:rPr>
        <w:t>enter’s users to determine the extent to which federally-funded research projects were charged. If it is determined that a full analysis would not be cost effective, the entire surplus would be liquidated</w:t>
      </w:r>
      <w:r>
        <w:rPr>
          <w:rFonts w:ascii="Arial" w:eastAsia="Times New Roman" w:hAnsi="Arial" w:cs="Arial"/>
          <w:bCs/>
          <w:color w:val="333333"/>
          <w:sz w:val="24"/>
          <w:szCs w:val="27"/>
        </w:rPr>
        <w:t>,</w:t>
      </w:r>
    </w:p>
    <w:p w:rsidR="009653BB" w:rsidRDefault="009653BB" w:rsidP="009653BB">
      <w:pPr>
        <w:shd w:val="clear" w:color="auto" w:fill="FFFFFF"/>
        <w:spacing w:after="100" w:afterAutospacing="1" w:line="330" w:lineRule="atLeast"/>
        <w:ind w:left="1440"/>
      </w:pPr>
    </w:p>
    <w:sectPr w:rsidR="00965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42C"/>
    <w:multiLevelType w:val="multilevel"/>
    <w:tmpl w:val="FD0419E2"/>
    <w:lvl w:ilvl="0">
      <w:start w:val="1"/>
      <w:numFmt w:val="upperRoman"/>
      <w:lvlText w:val="%1."/>
      <w:lvlJc w:val="right"/>
      <w:pPr>
        <w:tabs>
          <w:tab w:val="num" w:pos="1080"/>
        </w:tabs>
        <w:ind w:left="1080" w:hanging="360"/>
      </w:pPr>
    </w:lvl>
    <w:lvl w:ilvl="1">
      <w:start w:val="1"/>
      <w:numFmt w:val="lowerRoman"/>
      <w:lvlText w:val="%2."/>
      <w:lvlJc w:val="right"/>
      <w:pPr>
        <w:tabs>
          <w:tab w:val="num" w:pos="1800"/>
        </w:tabs>
        <w:ind w:left="1800" w:hanging="360"/>
      </w:pPr>
    </w:lvl>
    <w:lvl w:ilvl="2">
      <w:start w:val="1"/>
      <w:numFmt w:val="decimal"/>
      <w:lvlText w:val="%3."/>
      <w:lvlJc w:val="right"/>
      <w:pPr>
        <w:tabs>
          <w:tab w:val="num" w:pos="2520"/>
        </w:tabs>
        <w:ind w:left="2520" w:hanging="360"/>
      </w:pPr>
    </w:lvl>
    <w:lvl w:ilvl="3" w:tentative="1">
      <w:start w:val="1"/>
      <w:numFmt w:val="upperRoman"/>
      <w:lvlText w:val="%4."/>
      <w:lvlJc w:val="right"/>
      <w:pPr>
        <w:tabs>
          <w:tab w:val="num" w:pos="3240"/>
        </w:tabs>
        <w:ind w:left="3240" w:hanging="360"/>
      </w:pPr>
    </w:lvl>
    <w:lvl w:ilvl="4" w:tentative="1">
      <w:start w:val="1"/>
      <w:numFmt w:val="upperRoman"/>
      <w:lvlText w:val="%5."/>
      <w:lvlJc w:val="right"/>
      <w:pPr>
        <w:tabs>
          <w:tab w:val="num" w:pos="3960"/>
        </w:tabs>
        <w:ind w:left="3960" w:hanging="360"/>
      </w:pPr>
    </w:lvl>
    <w:lvl w:ilvl="5" w:tentative="1">
      <w:start w:val="1"/>
      <w:numFmt w:val="upperRoman"/>
      <w:lvlText w:val="%6."/>
      <w:lvlJc w:val="right"/>
      <w:pPr>
        <w:tabs>
          <w:tab w:val="num" w:pos="4680"/>
        </w:tabs>
        <w:ind w:left="4680" w:hanging="360"/>
      </w:pPr>
    </w:lvl>
    <w:lvl w:ilvl="6" w:tentative="1">
      <w:start w:val="1"/>
      <w:numFmt w:val="upperRoman"/>
      <w:lvlText w:val="%7."/>
      <w:lvlJc w:val="right"/>
      <w:pPr>
        <w:tabs>
          <w:tab w:val="num" w:pos="5400"/>
        </w:tabs>
        <w:ind w:left="5400" w:hanging="360"/>
      </w:pPr>
    </w:lvl>
    <w:lvl w:ilvl="7" w:tentative="1">
      <w:start w:val="1"/>
      <w:numFmt w:val="upperRoman"/>
      <w:lvlText w:val="%8."/>
      <w:lvlJc w:val="right"/>
      <w:pPr>
        <w:tabs>
          <w:tab w:val="num" w:pos="6120"/>
        </w:tabs>
        <w:ind w:left="6120" w:hanging="360"/>
      </w:pPr>
    </w:lvl>
    <w:lvl w:ilvl="8" w:tentative="1">
      <w:start w:val="1"/>
      <w:numFmt w:val="upperRoman"/>
      <w:lvlText w:val="%9."/>
      <w:lvlJc w:val="right"/>
      <w:pPr>
        <w:tabs>
          <w:tab w:val="num" w:pos="6840"/>
        </w:tabs>
        <w:ind w:left="6840" w:hanging="360"/>
      </w:pPr>
    </w:lvl>
  </w:abstractNum>
  <w:abstractNum w:abstractNumId="1" w15:restartNumberingAfterBreak="0">
    <w:nsid w:val="0A0B0732"/>
    <w:multiLevelType w:val="multilevel"/>
    <w:tmpl w:val="85A46768"/>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bullet"/>
      <w:lvlText w:val=""/>
      <w:lvlJc w:val="left"/>
      <w:pPr>
        <w:tabs>
          <w:tab w:val="num" w:pos="2070"/>
        </w:tabs>
        <w:ind w:left="2070" w:hanging="360"/>
      </w:pPr>
      <w:rPr>
        <w:rFonts w:ascii="Symbol" w:hAnsi="Symbol" w:hint="default"/>
        <w:b w:val="0"/>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FFE462C"/>
    <w:multiLevelType w:val="hybridMultilevel"/>
    <w:tmpl w:val="FBC41438"/>
    <w:lvl w:ilvl="0" w:tplc="FA9CE73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67F75"/>
    <w:multiLevelType w:val="multilevel"/>
    <w:tmpl w:val="C61A8788"/>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rPr>
        <w:b/>
        <w:sz w:val="24"/>
      </w:rPr>
    </w:lvl>
    <w:lvl w:ilvl="2">
      <w:start w:val="1"/>
      <w:numFmt w:val="lowerRoman"/>
      <w:lvlText w:val="%3."/>
      <w:lvlJc w:val="right"/>
      <w:pPr>
        <w:tabs>
          <w:tab w:val="num" w:pos="2070"/>
        </w:tabs>
        <w:ind w:left="2070" w:hanging="360"/>
      </w:pPr>
      <w:rPr>
        <w:b/>
      </w:rPr>
    </w:lvl>
    <w:lvl w:ilvl="3">
      <w:start w:val="1"/>
      <w:numFmt w:val="upperRoman"/>
      <w:lvlText w:val="%4."/>
      <w:lvlJc w:val="right"/>
      <w:pPr>
        <w:tabs>
          <w:tab w:val="num" w:pos="2880"/>
        </w:tabs>
        <w:ind w:left="2880" w:hanging="360"/>
      </w:pPr>
    </w:lvl>
    <w:lvl w:ilvl="4">
      <w:start w:val="1"/>
      <w:numFmt w:val="lowerLetter"/>
      <w:lvlText w:val="%5."/>
      <w:lvlJc w:val="left"/>
      <w:pPr>
        <w:ind w:left="3960" w:hanging="720"/>
      </w:pPr>
      <w:rPr>
        <w:rFonts w:hint="default"/>
        <w:b/>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24821EB"/>
    <w:multiLevelType w:val="multilevel"/>
    <w:tmpl w:val="DA72FEC2"/>
    <w:lvl w:ilvl="0">
      <w:start w:val="1"/>
      <w:numFmt w:val="upperRoman"/>
      <w:lvlText w:val="%1."/>
      <w:lvlJc w:val="right"/>
      <w:pPr>
        <w:tabs>
          <w:tab w:val="num" w:pos="360"/>
        </w:tabs>
        <w:ind w:left="360" w:hanging="360"/>
      </w:pPr>
    </w:lvl>
    <w:lvl w:ilvl="1">
      <w:start w:val="1"/>
      <w:numFmt w:val="lowerLetter"/>
      <w:lvlText w:val="%2)"/>
      <w:lvlJc w:val="left"/>
      <w:pPr>
        <w:tabs>
          <w:tab w:val="num" w:pos="1080"/>
        </w:tabs>
        <w:ind w:left="1080" w:hanging="360"/>
      </w:pPr>
      <w:rPr>
        <w:b/>
      </w:rPr>
    </w:lvl>
    <w:lvl w:ilvl="2">
      <w:start w:val="1"/>
      <w:numFmt w:val="lowerRoman"/>
      <w:lvlText w:val="%3."/>
      <w:lvlJc w:val="right"/>
      <w:pPr>
        <w:tabs>
          <w:tab w:val="num" w:pos="1710"/>
        </w:tabs>
        <w:ind w:left="1710" w:hanging="360"/>
      </w:pPr>
      <w:rPr>
        <w:b/>
      </w:rPr>
    </w:lvl>
    <w:lvl w:ilvl="3">
      <w:start w:val="1"/>
      <w:numFmt w:val="upperRoman"/>
      <w:lvlText w:val="%4."/>
      <w:lvlJc w:val="right"/>
      <w:pPr>
        <w:tabs>
          <w:tab w:val="num" w:pos="2520"/>
        </w:tabs>
        <w:ind w:left="2520" w:hanging="360"/>
      </w:pPr>
    </w:lvl>
    <w:lvl w:ilvl="4">
      <w:start w:val="1"/>
      <w:numFmt w:val="lowerLetter"/>
      <w:lvlText w:val="%5."/>
      <w:lvlJc w:val="left"/>
      <w:pPr>
        <w:ind w:left="3600" w:hanging="720"/>
      </w:pPr>
      <w:rPr>
        <w:rFonts w:hint="default"/>
        <w:b/>
      </w:r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5" w15:restartNumberingAfterBreak="0">
    <w:nsid w:val="4329378F"/>
    <w:multiLevelType w:val="multilevel"/>
    <w:tmpl w:val="4704BC16"/>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070"/>
        </w:tabs>
        <w:ind w:left="2070" w:hanging="360"/>
      </w:pPr>
      <w:rPr>
        <w:b/>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B703CF6"/>
    <w:multiLevelType w:val="multilevel"/>
    <w:tmpl w:val="6EFAFD58"/>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070"/>
        </w:tabs>
        <w:ind w:left="2070" w:hanging="360"/>
      </w:pPr>
      <w:rPr>
        <w:b/>
      </w:r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4E497FB9"/>
    <w:multiLevelType w:val="multilevel"/>
    <w:tmpl w:val="D77C44AE"/>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Letter"/>
      <w:lvlText w:val="%3."/>
      <w:lvlJc w:val="left"/>
      <w:pPr>
        <w:tabs>
          <w:tab w:val="num" w:pos="2070"/>
        </w:tabs>
        <w:ind w:left="2070" w:hanging="360"/>
      </w:pPr>
      <w:rPr>
        <w:b/>
      </w:rPr>
    </w:lvl>
    <w:lvl w:ilvl="3">
      <w:start w:val="1"/>
      <w:numFmt w:val="bullet"/>
      <w:lvlText w:val=""/>
      <w:lvlJc w:val="left"/>
      <w:pPr>
        <w:tabs>
          <w:tab w:val="num" w:pos="2880"/>
        </w:tabs>
        <w:ind w:left="2880" w:hanging="360"/>
      </w:pPr>
      <w:rPr>
        <w:rFonts w:ascii="Symbol" w:hAnsi="Symbol" w:hint="default"/>
      </w:rPr>
    </w:lvl>
    <w:lvl w:ilvl="4">
      <w:numFmt w:val="bullet"/>
      <w:lvlText w:val="-"/>
      <w:lvlJc w:val="left"/>
      <w:pPr>
        <w:ind w:left="3600" w:hanging="360"/>
      </w:pPr>
      <w:rPr>
        <w:rFonts w:ascii="Arial" w:eastAsia="Times New Roman" w:hAnsi="Arial" w:cs="Arial"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CE623BD"/>
    <w:multiLevelType w:val="multilevel"/>
    <w:tmpl w:val="91DC358A"/>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Letter"/>
      <w:lvlText w:val="%3)"/>
      <w:lvlJc w:val="left"/>
      <w:pPr>
        <w:tabs>
          <w:tab w:val="num" w:pos="2070"/>
        </w:tabs>
        <w:ind w:left="2070" w:hanging="360"/>
      </w:pPr>
      <w:rPr>
        <w:b/>
      </w:rPr>
    </w:lvl>
    <w:lvl w:ilvl="3">
      <w:start w:val="1"/>
      <w:numFmt w:val="bullet"/>
      <w:lvlText w:val=""/>
      <w:lvlJc w:val="left"/>
      <w:pPr>
        <w:tabs>
          <w:tab w:val="num" w:pos="2880"/>
        </w:tabs>
        <w:ind w:left="2880" w:hanging="360"/>
      </w:pPr>
      <w:rPr>
        <w:rFonts w:ascii="Symbol" w:hAnsi="Symbol"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64C52CFF"/>
    <w:multiLevelType w:val="hybridMultilevel"/>
    <w:tmpl w:val="DDEC55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7"/>
  </w:num>
  <w:num w:numId="6">
    <w:abstractNumId w:val="5"/>
  </w:num>
  <w:num w:numId="7">
    <w:abstractNumId w:val="1"/>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BB"/>
    <w:rsid w:val="000403A8"/>
    <w:rsid w:val="00074E42"/>
    <w:rsid w:val="000F1749"/>
    <w:rsid w:val="00494BFB"/>
    <w:rsid w:val="0056556E"/>
    <w:rsid w:val="006B5AF4"/>
    <w:rsid w:val="0080069F"/>
    <w:rsid w:val="009653BB"/>
    <w:rsid w:val="00D6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97E8"/>
  <w15:chartTrackingRefBased/>
  <w15:docId w15:val="{E7C0BB0A-30CD-496F-A6B6-3938A183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BB"/>
  </w:style>
  <w:style w:type="paragraph" w:styleId="Heading2">
    <w:name w:val="heading 2"/>
    <w:basedOn w:val="Normal"/>
    <w:link w:val="Heading2Char"/>
    <w:uiPriority w:val="9"/>
    <w:qFormat/>
    <w:rsid w:val="009653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BB"/>
    <w:pPr>
      <w:ind w:left="720"/>
      <w:contextualSpacing/>
    </w:pPr>
  </w:style>
  <w:style w:type="character" w:customStyle="1" w:styleId="Heading2Char">
    <w:name w:val="Heading 2 Char"/>
    <w:basedOn w:val="DefaultParagraphFont"/>
    <w:link w:val="Heading2"/>
    <w:uiPriority w:val="9"/>
    <w:rsid w:val="009653BB"/>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9653BB"/>
    <w:pPr>
      <w:widowControl w:val="0"/>
      <w:spacing w:after="0" w:line="240" w:lineRule="auto"/>
    </w:pPr>
  </w:style>
  <w:style w:type="character" w:styleId="Hyperlink">
    <w:name w:val="Hyperlink"/>
    <w:basedOn w:val="DefaultParagraphFont"/>
    <w:uiPriority w:val="99"/>
    <w:unhideWhenUsed/>
    <w:rsid w:val="009653BB"/>
    <w:rPr>
      <w:color w:val="0000FF"/>
      <w:u w:val="single"/>
    </w:rPr>
  </w:style>
  <w:style w:type="paragraph" w:styleId="NoSpacing">
    <w:name w:val="No Spacing"/>
    <w:link w:val="NoSpacingChar"/>
    <w:uiPriority w:val="1"/>
    <w:qFormat/>
    <w:rsid w:val="009653BB"/>
    <w:pPr>
      <w:spacing w:after="0" w:line="240" w:lineRule="auto"/>
    </w:pPr>
    <w:rPr>
      <w:rFonts w:eastAsiaTheme="minorEastAsia"/>
    </w:rPr>
  </w:style>
  <w:style w:type="character" w:customStyle="1" w:styleId="NoSpacingChar">
    <w:name w:val="No Spacing Char"/>
    <w:basedOn w:val="DefaultParagraphFont"/>
    <w:link w:val="NoSpacing"/>
    <w:uiPriority w:val="1"/>
    <w:rsid w:val="009653BB"/>
    <w:rPr>
      <w:rFonts w:eastAsiaTheme="minorEastAsia"/>
    </w:rPr>
  </w:style>
  <w:style w:type="character" w:styleId="CommentReference">
    <w:name w:val="annotation reference"/>
    <w:basedOn w:val="DefaultParagraphFont"/>
    <w:uiPriority w:val="99"/>
    <w:semiHidden/>
    <w:unhideWhenUsed/>
    <w:rsid w:val="009653BB"/>
    <w:rPr>
      <w:sz w:val="16"/>
      <w:szCs w:val="16"/>
    </w:rPr>
  </w:style>
  <w:style w:type="paragraph" w:styleId="CommentText">
    <w:name w:val="annotation text"/>
    <w:basedOn w:val="Normal"/>
    <w:link w:val="CommentTextChar"/>
    <w:uiPriority w:val="99"/>
    <w:semiHidden/>
    <w:unhideWhenUsed/>
    <w:rsid w:val="009653BB"/>
    <w:pPr>
      <w:spacing w:line="240" w:lineRule="auto"/>
    </w:pPr>
    <w:rPr>
      <w:sz w:val="20"/>
      <w:szCs w:val="20"/>
    </w:rPr>
  </w:style>
  <w:style w:type="character" w:customStyle="1" w:styleId="CommentTextChar">
    <w:name w:val="Comment Text Char"/>
    <w:basedOn w:val="DefaultParagraphFont"/>
    <w:link w:val="CommentText"/>
    <w:uiPriority w:val="99"/>
    <w:semiHidden/>
    <w:rsid w:val="009653BB"/>
    <w:rPr>
      <w:sz w:val="20"/>
      <w:szCs w:val="20"/>
    </w:rPr>
  </w:style>
  <w:style w:type="paragraph" w:styleId="BalloonText">
    <w:name w:val="Balloon Text"/>
    <w:basedOn w:val="Normal"/>
    <w:link w:val="BalloonTextChar"/>
    <w:uiPriority w:val="99"/>
    <w:semiHidden/>
    <w:unhideWhenUsed/>
    <w:rsid w:val="00965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mailto:TRESREPORT@vcu.edu" TargetMode="Externa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9C48F8-6222-4A90-800C-DAAF08216DE8}"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en-US"/>
        </a:p>
      </dgm:t>
    </dgm:pt>
    <dgm:pt modelId="{EBACAE07-B6F2-44FE-A631-1418C5400F5E}">
      <dgm:prSet phldrT="[Text]"/>
      <dgm:spPr/>
      <dgm:t>
        <a:bodyPr/>
        <a:lstStyle/>
        <a:p>
          <a:r>
            <a:rPr lang="en-US"/>
            <a:t>Menu</a:t>
          </a:r>
        </a:p>
      </dgm:t>
    </dgm:pt>
    <dgm:pt modelId="{5BD8F967-47BC-4D02-9A6C-9BC54CF693A0}" type="parTrans" cxnId="{D61EB422-7FB6-405E-84D7-62E360FF41C3}">
      <dgm:prSet/>
      <dgm:spPr/>
      <dgm:t>
        <a:bodyPr/>
        <a:lstStyle/>
        <a:p>
          <a:endParaRPr lang="en-US"/>
        </a:p>
      </dgm:t>
    </dgm:pt>
    <dgm:pt modelId="{A50E8F4D-DBCD-40C1-99A1-CED3816FCC7F}" type="sibTrans" cxnId="{D61EB422-7FB6-405E-84D7-62E360FF41C3}">
      <dgm:prSet/>
      <dgm:spPr/>
      <dgm:t>
        <a:bodyPr/>
        <a:lstStyle/>
        <a:p>
          <a:endParaRPr lang="en-US"/>
        </a:p>
      </dgm:t>
    </dgm:pt>
    <dgm:pt modelId="{B518215E-96F8-4550-8C39-27FB4A734334}">
      <dgm:prSet phldrT="[Text]"/>
      <dgm:spPr/>
      <dgm:t>
        <a:bodyPr/>
        <a:lstStyle/>
        <a:p>
          <a:r>
            <a:rPr lang="en-US"/>
            <a:t>Determine a list of items and billing method for each.</a:t>
          </a:r>
        </a:p>
      </dgm:t>
    </dgm:pt>
    <dgm:pt modelId="{27941E62-6270-4E94-B536-89E646D62489}" type="parTrans" cxnId="{B51CD56A-4061-41C9-923B-647F3AC51D79}">
      <dgm:prSet/>
      <dgm:spPr/>
      <dgm:t>
        <a:bodyPr/>
        <a:lstStyle/>
        <a:p>
          <a:endParaRPr lang="en-US"/>
        </a:p>
      </dgm:t>
    </dgm:pt>
    <dgm:pt modelId="{56938980-6C7B-48B4-979C-2440FE05C4E7}" type="sibTrans" cxnId="{B51CD56A-4061-41C9-923B-647F3AC51D79}">
      <dgm:prSet/>
      <dgm:spPr/>
      <dgm:t>
        <a:bodyPr/>
        <a:lstStyle/>
        <a:p>
          <a:endParaRPr lang="en-US"/>
        </a:p>
      </dgm:t>
    </dgm:pt>
    <dgm:pt modelId="{5115A695-B183-496F-A776-37EA6742615E}">
      <dgm:prSet phldrT="[Text]"/>
      <dgm:spPr/>
      <dgm:t>
        <a:bodyPr/>
        <a:lstStyle/>
        <a:p>
          <a:r>
            <a:rPr lang="en-US"/>
            <a:t>Who will buy and at what quantity?</a:t>
          </a:r>
        </a:p>
      </dgm:t>
    </dgm:pt>
    <dgm:pt modelId="{89316DDD-E956-4C65-9F78-4B4015114035}" type="parTrans" cxnId="{282B06C5-6AEB-4C12-B530-88511945CF2B}">
      <dgm:prSet/>
      <dgm:spPr/>
      <dgm:t>
        <a:bodyPr/>
        <a:lstStyle/>
        <a:p>
          <a:endParaRPr lang="en-US"/>
        </a:p>
      </dgm:t>
    </dgm:pt>
    <dgm:pt modelId="{898257F3-F59F-4C5D-B0EA-335ED4A0C448}" type="sibTrans" cxnId="{282B06C5-6AEB-4C12-B530-88511945CF2B}">
      <dgm:prSet/>
      <dgm:spPr/>
      <dgm:t>
        <a:bodyPr/>
        <a:lstStyle/>
        <a:p>
          <a:endParaRPr lang="en-US"/>
        </a:p>
      </dgm:t>
    </dgm:pt>
    <dgm:pt modelId="{B2D98B4F-179A-4C48-8A12-DC529682F949}">
      <dgm:prSet phldrT="[Text]"/>
      <dgm:spPr/>
      <dgm:t>
        <a:bodyPr/>
        <a:lstStyle/>
        <a:p>
          <a:r>
            <a:rPr lang="en-US"/>
            <a:t>Operating Costs</a:t>
          </a:r>
        </a:p>
      </dgm:t>
    </dgm:pt>
    <dgm:pt modelId="{FE48A1A3-62A9-4449-9781-70414276DD97}" type="parTrans" cxnId="{E67B6429-87EE-4652-A6A2-CF3045A633EE}">
      <dgm:prSet/>
      <dgm:spPr/>
      <dgm:t>
        <a:bodyPr/>
        <a:lstStyle/>
        <a:p>
          <a:endParaRPr lang="en-US"/>
        </a:p>
      </dgm:t>
    </dgm:pt>
    <dgm:pt modelId="{CF73FFCF-6947-4444-81C9-3BA4F540D404}" type="sibTrans" cxnId="{E67B6429-87EE-4652-A6A2-CF3045A633EE}">
      <dgm:prSet/>
      <dgm:spPr/>
      <dgm:t>
        <a:bodyPr/>
        <a:lstStyle/>
        <a:p>
          <a:endParaRPr lang="en-US"/>
        </a:p>
      </dgm:t>
    </dgm:pt>
    <dgm:pt modelId="{73F5B0CB-6731-42DC-AE18-B8A7A658A220}">
      <dgm:prSet phldrT="[Text]"/>
      <dgm:spPr/>
      <dgm:t>
        <a:bodyPr/>
        <a:lstStyle/>
        <a:p>
          <a:r>
            <a:rPr lang="en-US"/>
            <a:t>Measure your fixed, variable, direct or indirect costs and allocate to all sales or by each items/service.</a:t>
          </a:r>
        </a:p>
      </dgm:t>
    </dgm:pt>
    <dgm:pt modelId="{03EC8D51-D98B-4672-9EF3-E0F94CD7AA05}" type="parTrans" cxnId="{B3AD2176-AF12-471D-97C9-C57E3C7EFBD4}">
      <dgm:prSet/>
      <dgm:spPr/>
      <dgm:t>
        <a:bodyPr/>
        <a:lstStyle/>
        <a:p>
          <a:endParaRPr lang="en-US"/>
        </a:p>
      </dgm:t>
    </dgm:pt>
    <dgm:pt modelId="{3FB25AED-64FD-4A82-823D-7310E1C24CB2}" type="sibTrans" cxnId="{B3AD2176-AF12-471D-97C9-C57E3C7EFBD4}">
      <dgm:prSet/>
      <dgm:spPr/>
      <dgm:t>
        <a:bodyPr/>
        <a:lstStyle/>
        <a:p>
          <a:endParaRPr lang="en-US"/>
        </a:p>
      </dgm:t>
    </dgm:pt>
    <dgm:pt modelId="{0C206B02-1551-45A5-B3F0-125BE04EB813}">
      <dgm:prSet phldrT="[Text]"/>
      <dgm:spPr/>
      <dgm:t>
        <a:bodyPr/>
        <a:lstStyle/>
        <a:p>
          <a:r>
            <a:rPr lang="en-US"/>
            <a:t>Customers &amp; Sales</a:t>
          </a:r>
        </a:p>
      </dgm:t>
    </dgm:pt>
    <dgm:pt modelId="{AAE6754F-7BB6-49D4-8CB9-C48451F1CB54}" type="sibTrans" cxnId="{D7E9B5A8-6EF2-4D56-A537-9DF1180D4241}">
      <dgm:prSet/>
      <dgm:spPr/>
      <dgm:t>
        <a:bodyPr/>
        <a:lstStyle/>
        <a:p>
          <a:endParaRPr lang="en-US"/>
        </a:p>
      </dgm:t>
    </dgm:pt>
    <dgm:pt modelId="{8D78B1D2-946E-4023-8A12-28F729B894B0}" type="parTrans" cxnId="{D7E9B5A8-6EF2-4D56-A537-9DF1180D4241}">
      <dgm:prSet/>
      <dgm:spPr/>
      <dgm:t>
        <a:bodyPr/>
        <a:lstStyle/>
        <a:p>
          <a:endParaRPr lang="en-US"/>
        </a:p>
      </dgm:t>
    </dgm:pt>
    <dgm:pt modelId="{67EE3BB9-2029-4E29-B69C-B4C18E4F4CD7}">
      <dgm:prSet phldrT="[Text]"/>
      <dgm:spPr/>
      <dgm:t>
        <a:bodyPr/>
        <a:lstStyle/>
        <a:p>
          <a:r>
            <a:rPr lang="en-US"/>
            <a:t>Calculate Rate.</a:t>
          </a:r>
        </a:p>
      </dgm:t>
    </dgm:pt>
    <dgm:pt modelId="{48DDB621-4ADC-46FE-A274-EE9850F4C930}" type="parTrans" cxnId="{5713C690-6D0D-43FF-A78B-81E8AE54489E}">
      <dgm:prSet/>
      <dgm:spPr/>
      <dgm:t>
        <a:bodyPr/>
        <a:lstStyle/>
        <a:p>
          <a:endParaRPr lang="en-US"/>
        </a:p>
      </dgm:t>
    </dgm:pt>
    <dgm:pt modelId="{8F8925BC-EDCC-422E-AC3B-74C170088F96}" type="sibTrans" cxnId="{5713C690-6D0D-43FF-A78B-81E8AE54489E}">
      <dgm:prSet/>
      <dgm:spPr/>
      <dgm:t>
        <a:bodyPr/>
        <a:lstStyle/>
        <a:p>
          <a:endParaRPr lang="en-US"/>
        </a:p>
      </dgm:t>
    </dgm:pt>
    <dgm:pt modelId="{FDA2440E-A5EF-44CB-8F4F-2AF543841592}">
      <dgm:prSet phldrT="[Text]"/>
      <dgm:spPr/>
      <dgm:t>
        <a:bodyPr/>
        <a:lstStyle/>
        <a:p>
          <a:r>
            <a:rPr lang="en-US"/>
            <a:t>Students</a:t>
          </a:r>
        </a:p>
      </dgm:t>
    </dgm:pt>
    <dgm:pt modelId="{031719C4-CCDB-4365-9D63-B7212AB5834F}" type="parTrans" cxnId="{0A82910A-653D-4D2B-B6A9-84FDF8EC7F4C}">
      <dgm:prSet/>
      <dgm:spPr/>
      <dgm:t>
        <a:bodyPr/>
        <a:lstStyle/>
        <a:p>
          <a:endParaRPr lang="en-US"/>
        </a:p>
      </dgm:t>
    </dgm:pt>
    <dgm:pt modelId="{7A955545-8013-4A29-8C2A-5B60B43EF674}" type="sibTrans" cxnId="{0A82910A-653D-4D2B-B6A9-84FDF8EC7F4C}">
      <dgm:prSet/>
      <dgm:spPr/>
      <dgm:t>
        <a:bodyPr/>
        <a:lstStyle/>
        <a:p>
          <a:endParaRPr lang="en-US"/>
        </a:p>
      </dgm:t>
    </dgm:pt>
    <dgm:pt modelId="{B7AF5237-8706-4548-B962-5F082AD9F2BE}">
      <dgm:prSet phldrT="[Text]"/>
      <dgm:spPr/>
      <dgm:t>
        <a:bodyPr/>
        <a:lstStyle/>
        <a:p>
          <a:r>
            <a:rPr lang="en-US"/>
            <a:t>Researchs</a:t>
          </a:r>
        </a:p>
      </dgm:t>
    </dgm:pt>
    <dgm:pt modelId="{41C618D6-FDB0-4C78-89AC-9AA10062300D}" type="parTrans" cxnId="{4F46C157-C9DD-4C4D-B178-6BCE29F47539}">
      <dgm:prSet/>
      <dgm:spPr/>
      <dgm:t>
        <a:bodyPr/>
        <a:lstStyle/>
        <a:p>
          <a:endParaRPr lang="en-US"/>
        </a:p>
      </dgm:t>
    </dgm:pt>
    <dgm:pt modelId="{DECE054D-C5EC-4341-8160-0F7E6F2C832B}" type="sibTrans" cxnId="{4F46C157-C9DD-4C4D-B178-6BCE29F47539}">
      <dgm:prSet/>
      <dgm:spPr/>
      <dgm:t>
        <a:bodyPr/>
        <a:lstStyle/>
        <a:p>
          <a:endParaRPr lang="en-US"/>
        </a:p>
      </dgm:t>
    </dgm:pt>
    <dgm:pt modelId="{DC016D3F-4CCF-496D-9EB8-1C50166519A8}">
      <dgm:prSet phldrT="[Text]"/>
      <dgm:spPr/>
      <dgm:t>
        <a:bodyPr/>
        <a:lstStyle/>
        <a:p>
          <a:r>
            <a:rPr lang="en-US"/>
            <a:t>Industry</a:t>
          </a:r>
        </a:p>
      </dgm:t>
    </dgm:pt>
    <dgm:pt modelId="{1949E8F0-EEE7-4FE2-A0C3-E2D79E8CAF75}" type="parTrans" cxnId="{8243770E-D6FF-45AC-9CE1-FCE308431630}">
      <dgm:prSet/>
      <dgm:spPr/>
      <dgm:t>
        <a:bodyPr/>
        <a:lstStyle/>
        <a:p>
          <a:endParaRPr lang="en-US"/>
        </a:p>
      </dgm:t>
    </dgm:pt>
    <dgm:pt modelId="{63A43A77-BE65-457F-89BD-68E1D34B366C}" type="sibTrans" cxnId="{8243770E-D6FF-45AC-9CE1-FCE308431630}">
      <dgm:prSet/>
      <dgm:spPr/>
      <dgm:t>
        <a:bodyPr/>
        <a:lstStyle/>
        <a:p>
          <a:endParaRPr lang="en-US"/>
        </a:p>
      </dgm:t>
    </dgm:pt>
    <dgm:pt modelId="{43853F09-2702-4450-8C15-D85E9E786D43}">
      <dgm:prSet phldrT="[Text]"/>
      <dgm:spPr/>
      <dgm:t>
        <a:bodyPr/>
        <a:lstStyle/>
        <a:p>
          <a:r>
            <a:rPr lang="en-US"/>
            <a:t>Internal User Rate</a:t>
          </a:r>
        </a:p>
      </dgm:t>
    </dgm:pt>
    <dgm:pt modelId="{FDE28E50-B505-4E95-B8FB-3A2DB1C91FF9}" type="parTrans" cxnId="{B2CDDDC4-CF12-4DEA-9B0E-B0B192F115F1}">
      <dgm:prSet/>
      <dgm:spPr/>
      <dgm:t>
        <a:bodyPr/>
        <a:lstStyle/>
        <a:p>
          <a:endParaRPr lang="en-US"/>
        </a:p>
      </dgm:t>
    </dgm:pt>
    <dgm:pt modelId="{BDE54D28-BCE0-49AE-9282-4953108CF2F3}" type="sibTrans" cxnId="{B2CDDDC4-CF12-4DEA-9B0E-B0B192F115F1}">
      <dgm:prSet/>
      <dgm:spPr/>
      <dgm:t>
        <a:bodyPr/>
        <a:lstStyle/>
        <a:p>
          <a:endParaRPr lang="en-US"/>
        </a:p>
      </dgm:t>
    </dgm:pt>
    <dgm:pt modelId="{AF5B923F-172E-4BA2-8006-BBE13EEF8229}">
      <dgm:prSet phldrT="[Text]"/>
      <dgm:spPr/>
      <dgm:t>
        <a:bodyPr/>
        <a:lstStyle/>
        <a:p>
          <a:r>
            <a:rPr lang="en-US"/>
            <a:t>External User Rate</a:t>
          </a:r>
        </a:p>
      </dgm:t>
    </dgm:pt>
    <dgm:pt modelId="{8607206B-DC88-402F-A74F-16FAB52A8401}" type="parTrans" cxnId="{75CF8B06-6D33-44FC-8456-C7586EBC65E9}">
      <dgm:prSet/>
      <dgm:spPr/>
      <dgm:t>
        <a:bodyPr/>
        <a:lstStyle/>
        <a:p>
          <a:endParaRPr lang="en-US"/>
        </a:p>
      </dgm:t>
    </dgm:pt>
    <dgm:pt modelId="{6BAA4FC6-18A4-4DB4-9CE8-6E346C0C6F2E}" type="sibTrans" cxnId="{75CF8B06-6D33-44FC-8456-C7586EBC65E9}">
      <dgm:prSet/>
      <dgm:spPr/>
      <dgm:t>
        <a:bodyPr/>
        <a:lstStyle/>
        <a:p>
          <a:endParaRPr lang="en-US"/>
        </a:p>
      </dgm:t>
    </dgm:pt>
    <dgm:pt modelId="{D6E2E4E0-7E56-44E1-B742-461EB49A4269}" type="pres">
      <dgm:prSet presAssocID="{DD9C48F8-6222-4A90-800C-DAAF08216DE8}" presName="linearFlow" presStyleCnt="0">
        <dgm:presLayoutVars>
          <dgm:dir/>
          <dgm:animLvl val="lvl"/>
          <dgm:resizeHandles val="exact"/>
        </dgm:presLayoutVars>
      </dgm:prSet>
      <dgm:spPr/>
      <dgm:t>
        <a:bodyPr/>
        <a:lstStyle/>
        <a:p>
          <a:endParaRPr lang="en-US"/>
        </a:p>
      </dgm:t>
    </dgm:pt>
    <dgm:pt modelId="{05CBE41A-FB73-4A8A-929B-E346C418EFF2}" type="pres">
      <dgm:prSet presAssocID="{EBACAE07-B6F2-44FE-A631-1418C5400F5E}" presName="composite" presStyleCnt="0"/>
      <dgm:spPr/>
    </dgm:pt>
    <dgm:pt modelId="{E2211EBF-1ECB-4372-ABDB-1A1899A95097}" type="pres">
      <dgm:prSet presAssocID="{EBACAE07-B6F2-44FE-A631-1418C5400F5E}" presName="parTx" presStyleLbl="node1" presStyleIdx="0" presStyleCnt="4">
        <dgm:presLayoutVars>
          <dgm:chMax val="0"/>
          <dgm:chPref val="0"/>
          <dgm:bulletEnabled val="1"/>
        </dgm:presLayoutVars>
      </dgm:prSet>
      <dgm:spPr/>
      <dgm:t>
        <a:bodyPr/>
        <a:lstStyle/>
        <a:p>
          <a:endParaRPr lang="en-US"/>
        </a:p>
      </dgm:t>
    </dgm:pt>
    <dgm:pt modelId="{C18DEEE8-CAB5-4C6D-96A6-02A4A966D726}" type="pres">
      <dgm:prSet presAssocID="{EBACAE07-B6F2-44FE-A631-1418C5400F5E}" presName="parSh" presStyleLbl="node1" presStyleIdx="0" presStyleCnt="4"/>
      <dgm:spPr/>
      <dgm:t>
        <a:bodyPr/>
        <a:lstStyle/>
        <a:p>
          <a:endParaRPr lang="en-US"/>
        </a:p>
      </dgm:t>
    </dgm:pt>
    <dgm:pt modelId="{54E3F55F-7C7D-49B7-99A4-F33A36F3FE9E}" type="pres">
      <dgm:prSet presAssocID="{EBACAE07-B6F2-44FE-A631-1418C5400F5E}" presName="desTx" presStyleLbl="fgAcc1" presStyleIdx="0" presStyleCnt="4">
        <dgm:presLayoutVars>
          <dgm:bulletEnabled val="1"/>
        </dgm:presLayoutVars>
      </dgm:prSet>
      <dgm:spPr/>
      <dgm:t>
        <a:bodyPr/>
        <a:lstStyle/>
        <a:p>
          <a:endParaRPr lang="en-US"/>
        </a:p>
      </dgm:t>
    </dgm:pt>
    <dgm:pt modelId="{66007B76-94B6-424D-A545-CEC649BCDA2F}" type="pres">
      <dgm:prSet presAssocID="{A50E8F4D-DBCD-40C1-99A1-CED3816FCC7F}" presName="sibTrans" presStyleLbl="sibTrans2D1" presStyleIdx="0" presStyleCnt="3"/>
      <dgm:spPr/>
      <dgm:t>
        <a:bodyPr/>
        <a:lstStyle/>
        <a:p>
          <a:endParaRPr lang="en-US"/>
        </a:p>
      </dgm:t>
    </dgm:pt>
    <dgm:pt modelId="{F5400C99-84F2-4ECF-87EF-91B6578E4B1E}" type="pres">
      <dgm:prSet presAssocID="{A50E8F4D-DBCD-40C1-99A1-CED3816FCC7F}" presName="connTx" presStyleLbl="sibTrans2D1" presStyleIdx="0" presStyleCnt="3"/>
      <dgm:spPr/>
      <dgm:t>
        <a:bodyPr/>
        <a:lstStyle/>
        <a:p>
          <a:endParaRPr lang="en-US"/>
        </a:p>
      </dgm:t>
    </dgm:pt>
    <dgm:pt modelId="{0C2D0BA9-5B78-42AD-8A12-C5F7CE69C2F6}" type="pres">
      <dgm:prSet presAssocID="{0C206B02-1551-45A5-B3F0-125BE04EB813}" presName="composite" presStyleCnt="0"/>
      <dgm:spPr/>
    </dgm:pt>
    <dgm:pt modelId="{BAF806E4-DC48-451F-A5FC-27375F08B9C5}" type="pres">
      <dgm:prSet presAssocID="{0C206B02-1551-45A5-B3F0-125BE04EB813}" presName="parTx" presStyleLbl="node1" presStyleIdx="0" presStyleCnt="4">
        <dgm:presLayoutVars>
          <dgm:chMax val="0"/>
          <dgm:chPref val="0"/>
          <dgm:bulletEnabled val="1"/>
        </dgm:presLayoutVars>
      </dgm:prSet>
      <dgm:spPr/>
      <dgm:t>
        <a:bodyPr/>
        <a:lstStyle/>
        <a:p>
          <a:endParaRPr lang="en-US"/>
        </a:p>
      </dgm:t>
    </dgm:pt>
    <dgm:pt modelId="{3DDA5457-8AC1-45C0-8D15-E76E10B8036A}" type="pres">
      <dgm:prSet presAssocID="{0C206B02-1551-45A5-B3F0-125BE04EB813}" presName="parSh" presStyleLbl="node1" presStyleIdx="1" presStyleCnt="4"/>
      <dgm:spPr/>
      <dgm:t>
        <a:bodyPr/>
        <a:lstStyle/>
        <a:p>
          <a:endParaRPr lang="en-US"/>
        </a:p>
      </dgm:t>
    </dgm:pt>
    <dgm:pt modelId="{F6CACE48-BEF2-4433-AA58-C47385E92D3C}" type="pres">
      <dgm:prSet presAssocID="{0C206B02-1551-45A5-B3F0-125BE04EB813}" presName="desTx" presStyleLbl="fgAcc1" presStyleIdx="1" presStyleCnt="4">
        <dgm:presLayoutVars>
          <dgm:bulletEnabled val="1"/>
        </dgm:presLayoutVars>
      </dgm:prSet>
      <dgm:spPr/>
      <dgm:t>
        <a:bodyPr/>
        <a:lstStyle/>
        <a:p>
          <a:endParaRPr lang="en-US"/>
        </a:p>
      </dgm:t>
    </dgm:pt>
    <dgm:pt modelId="{D96DBB96-9E8E-44EB-963D-7D461D533904}" type="pres">
      <dgm:prSet presAssocID="{AAE6754F-7BB6-49D4-8CB9-C48451F1CB54}" presName="sibTrans" presStyleLbl="sibTrans2D1" presStyleIdx="1" presStyleCnt="3"/>
      <dgm:spPr/>
      <dgm:t>
        <a:bodyPr/>
        <a:lstStyle/>
        <a:p>
          <a:endParaRPr lang="en-US"/>
        </a:p>
      </dgm:t>
    </dgm:pt>
    <dgm:pt modelId="{C117D41F-972A-4809-B45E-2375A4E50B6A}" type="pres">
      <dgm:prSet presAssocID="{AAE6754F-7BB6-49D4-8CB9-C48451F1CB54}" presName="connTx" presStyleLbl="sibTrans2D1" presStyleIdx="1" presStyleCnt="3"/>
      <dgm:spPr/>
      <dgm:t>
        <a:bodyPr/>
        <a:lstStyle/>
        <a:p>
          <a:endParaRPr lang="en-US"/>
        </a:p>
      </dgm:t>
    </dgm:pt>
    <dgm:pt modelId="{DA05E968-E458-4095-B5FB-94CF6BA715D7}" type="pres">
      <dgm:prSet presAssocID="{B2D98B4F-179A-4C48-8A12-DC529682F949}" presName="composite" presStyleCnt="0"/>
      <dgm:spPr/>
    </dgm:pt>
    <dgm:pt modelId="{2119ECE5-0AA0-4894-B098-A3ED734465E9}" type="pres">
      <dgm:prSet presAssocID="{B2D98B4F-179A-4C48-8A12-DC529682F949}" presName="parTx" presStyleLbl="node1" presStyleIdx="1" presStyleCnt="4">
        <dgm:presLayoutVars>
          <dgm:chMax val="0"/>
          <dgm:chPref val="0"/>
          <dgm:bulletEnabled val="1"/>
        </dgm:presLayoutVars>
      </dgm:prSet>
      <dgm:spPr/>
      <dgm:t>
        <a:bodyPr/>
        <a:lstStyle/>
        <a:p>
          <a:endParaRPr lang="en-US"/>
        </a:p>
      </dgm:t>
    </dgm:pt>
    <dgm:pt modelId="{43678C46-1B73-4B0E-A215-18D190F02402}" type="pres">
      <dgm:prSet presAssocID="{B2D98B4F-179A-4C48-8A12-DC529682F949}" presName="parSh" presStyleLbl="node1" presStyleIdx="2" presStyleCnt="4"/>
      <dgm:spPr/>
      <dgm:t>
        <a:bodyPr/>
        <a:lstStyle/>
        <a:p>
          <a:endParaRPr lang="en-US"/>
        </a:p>
      </dgm:t>
    </dgm:pt>
    <dgm:pt modelId="{564584BC-F808-48B5-9330-F3739195DBB2}" type="pres">
      <dgm:prSet presAssocID="{B2D98B4F-179A-4C48-8A12-DC529682F949}" presName="desTx" presStyleLbl="fgAcc1" presStyleIdx="2" presStyleCnt="4">
        <dgm:presLayoutVars>
          <dgm:bulletEnabled val="1"/>
        </dgm:presLayoutVars>
      </dgm:prSet>
      <dgm:spPr/>
      <dgm:t>
        <a:bodyPr/>
        <a:lstStyle/>
        <a:p>
          <a:endParaRPr lang="en-US"/>
        </a:p>
      </dgm:t>
    </dgm:pt>
    <dgm:pt modelId="{57F5F8B8-217C-4552-A6C8-E4A09AEF3D0E}" type="pres">
      <dgm:prSet presAssocID="{CF73FFCF-6947-4444-81C9-3BA4F540D404}" presName="sibTrans" presStyleLbl="sibTrans2D1" presStyleIdx="2" presStyleCnt="3"/>
      <dgm:spPr/>
      <dgm:t>
        <a:bodyPr/>
        <a:lstStyle/>
        <a:p>
          <a:endParaRPr lang="en-US"/>
        </a:p>
      </dgm:t>
    </dgm:pt>
    <dgm:pt modelId="{6110CABF-377B-43FA-A76C-D80543E6CD43}" type="pres">
      <dgm:prSet presAssocID="{CF73FFCF-6947-4444-81C9-3BA4F540D404}" presName="connTx" presStyleLbl="sibTrans2D1" presStyleIdx="2" presStyleCnt="3"/>
      <dgm:spPr/>
      <dgm:t>
        <a:bodyPr/>
        <a:lstStyle/>
        <a:p>
          <a:endParaRPr lang="en-US"/>
        </a:p>
      </dgm:t>
    </dgm:pt>
    <dgm:pt modelId="{B0BDBCAC-C203-4247-8D8E-F23D839FD651}" type="pres">
      <dgm:prSet presAssocID="{67EE3BB9-2029-4E29-B69C-B4C18E4F4CD7}" presName="composite" presStyleCnt="0"/>
      <dgm:spPr/>
    </dgm:pt>
    <dgm:pt modelId="{C552CBE7-4699-406A-9C9C-0D9019B76CDE}" type="pres">
      <dgm:prSet presAssocID="{67EE3BB9-2029-4E29-B69C-B4C18E4F4CD7}" presName="parTx" presStyleLbl="node1" presStyleIdx="2" presStyleCnt="4">
        <dgm:presLayoutVars>
          <dgm:chMax val="0"/>
          <dgm:chPref val="0"/>
          <dgm:bulletEnabled val="1"/>
        </dgm:presLayoutVars>
      </dgm:prSet>
      <dgm:spPr/>
      <dgm:t>
        <a:bodyPr/>
        <a:lstStyle/>
        <a:p>
          <a:endParaRPr lang="en-US"/>
        </a:p>
      </dgm:t>
    </dgm:pt>
    <dgm:pt modelId="{2DE2B3C4-1BE6-465E-B707-1293739D1158}" type="pres">
      <dgm:prSet presAssocID="{67EE3BB9-2029-4E29-B69C-B4C18E4F4CD7}" presName="parSh" presStyleLbl="node1" presStyleIdx="3" presStyleCnt="4"/>
      <dgm:spPr/>
      <dgm:t>
        <a:bodyPr/>
        <a:lstStyle/>
        <a:p>
          <a:endParaRPr lang="en-US"/>
        </a:p>
      </dgm:t>
    </dgm:pt>
    <dgm:pt modelId="{5B9414E0-CA74-42DC-926A-8DD3819C1FD0}" type="pres">
      <dgm:prSet presAssocID="{67EE3BB9-2029-4E29-B69C-B4C18E4F4CD7}" presName="desTx" presStyleLbl="fgAcc1" presStyleIdx="3" presStyleCnt="4">
        <dgm:presLayoutVars>
          <dgm:bulletEnabled val="1"/>
        </dgm:presLayoutVars>
      </dgm:prSet>
      <dgm:spPr/>
      <dgm:t>
        <a:bodyPr/>
        <a:lstStyle/>
        <a:p>
          <a:endParaRPr lang="en-US"/>
        </a:p>
      </dgm:t>
    </dgm:pt>
  </dgm:ptLst>
  <dgm:cxnLst>
    <dgm:cxn modelId="{79DF618D-E3EE-4957-A11F-FD53243DEC80}" type="presOf" srcId="{A50E8F4D-DBCD-40C1-99A1-CED3816FCC7F}" destId="{F5400C99-84F2-4ECF-87EF-91B6578E4B1E}" srcOrd="1" destOrd="0" presId="urn:microsoft.com/office/officeart/2005/8/layout/process3"/>
    <dgm:cxn modelId="{FED21118-FC55-4812-AAF5-EF05730AB0CF}" type="presOf" srcId="{0C206B02-1551-45A5-B3F0-125BE04EB813}" destId="{BAF806E4-DC48-451F-A5FC-27375F08B9C5}" srcOrd="0" destOrd="0" presId="urn:microsoft.com/office/officeart/2005/8/layout/process3"/>
    <dgm:cxn modelId="{7D0BE1E2-873D-48A0-A2C5-656B03BDC83A}" type="presOf" srcId="{B2D98B4F-179A-4C48-8A12-DC529682F949}" destId="{2119ECE5-0AA0-4894-B098-A3ED734465E9}" srcOrd="0" destOrd="0" presId="urn:microsoft.com/office/officeart/2005/8/layout/process3"/>
    <dgm:cxn modelId="{EF470846-5760-4BCC-8C5E-A5AE085C47E1}" type="presOf" srcId="{AAE6754F-7BB6-49D4-8CB9-C48451F1CB54}" destId="{C117D41F-972A-4809-B45E-2375A4E50B6A}" srcOrd="1" destOrd="0" presId="urn:microsoft.com/office/officeart/2005/8/layout/process3"/>
    <dgm:cxn modelId="{7E78DDA3-5846-4EEA-ACA2-3C9623EFA79D}" type="presOf" srcId="{DC016D3F-4CCF-496D-9EB8-1C50166519A8}" destId="{F6CACE48-BEF2-4433-AA58-C47385E92D3C}" srcOrd="0" destOrd="3" presId="urn:microsoft.com/office/officeart/2005/8/layout/process3"/>
    <dgm:cxn modelId="{847D462D-B553-4BF7-BCC5-CF9893F20229}" type="presOf" srcId="{DD9C48F8-6222-4A90-800C-DAAF08216DE8}" destId="{D6E2E4E0-7E56-44E1-B742-461EB49A4269}" srcOrd="0" destOrd="0" presId="urn:microsoft.com/office/officeart/2005/8/layout/process3"/>
    <dgm:cxn modelId="{4DF8777A-62DE-45E1-80A7-67C4F012DEE5}" type="presOf" srcId="{5115A695-B183-496F-A776-37EA6742615E}" destId="{F6CACE48-BEF2-4433-AA58-C47385E92D3C}" srcOrd="0" destOrd="0" presId="urn:microsoft.com/office/officeart/2005/8/layout/process3"/>
    <dgm:cxn modelId="{B3AD2176-AF12-471D-97C9-C57E3C7EFBD4}" srcId="{B2D98B4F-179A-4C48-8A12-DC529682F949}" destId="{73F5B0CB-6731-42DC-AE18-B8A7A658A220}" srcOrd="0" destOrd="0" parTransId="{03EC8D51-D98B-4672-9EF3-E0F94CD7AA05}" sibTransId="{3FB25AED-64FD-4A82-823D-7310E1C24CB2}"/>
    <dgm:cxn modelId="{332B9714-D86B-42D3-8942-4A54C0BB75C0}" type="presOf" srcId="{A50E8F4D-DBCD-40C1-99A1-CED3816FCC7F}" destId="{66007B76-94B6-424D-A545-CEC649BCDA2F}" srcOrd="0" destOrd="0" presId="urn:microsoft.com/office/officeart/2005/8/layout/process3"/>
    <dgm:cxn modelId="{E67B6429-87EE-4652-A6A2-CF3045A633EE}" srcId="{DD9C48F8-6222-4A90-800C-DAAF08216DE8}" destId="{B2D98B4F-179A-4C48-8A12-DC529682F949}" srcOrd="2" destOrd="0" parTransId="{FE48A1A3-62A9-4449-9781-70414276DD97}" sibTransId="{CF73FFCF-6947-4444-81C9-3BA4F540D404}"/>
    <dgm:cxn modelId="{D5662B87-7252-4D48-919C-1CDC75AF119B}" type="presOf" srcId="{FDA2440E-A5EF-44CB-8F4F-2AF543841592}" destId="{F6CACE48-BEF2-4433-AA58-C47385E92D3C}" srcOrd="0" destOrd="1" presId="urn:microsoft.com/office/officeart/2005/8/layout/process3"/>
    <dgm:cxn modelId="{8243770E-D6FF-45AC-9CE1-FCE308431630}" srcId="{5115A695-B183-496F-A776-37EA6742615E}" destId="{DC016D3F-4CCF-496D-9EB8-1C50166519A8}" srcOrd="2" destOrd="0" parTransId="{1949E8F0-EEE7-4FE2-A0C3-E2D79E8CAF75}" sibTransId="{63A43A77-BE65-457F-89BD-68E1D34B366C}"/>
    <dgm:cxn modelId="{69069EB7-E281-4426-A850-068A0046AEA0}" type="presOf" srcId="{CF73FFCF-6947-4444-81C9-3BA4F540D404}" destId="{6110CABF-377B-43FA-A76C-D80543E6CD43}" srcOrd="1" destOrd="0" presId="urn:microsoft.com/office/officeart/2005/8/layout/process3"/>
    <dgm:cxn modelId="{F0876257-8ABF-4A8A-802D-0545321AFA00}" type="presOf" srcId="{AAE6754F-7BB6-49D4-8CB9-C48451F1CB54}" destId="{D96DBB96-9E8E-44EB-963D-7D461D533904}" srcOrd="0" destOrd="0" presId="urn:microsoft.com/office/officeart/2005/8/layout/process3"/>
    <dgm:cxn modelId="{96AD40C3-3DDA-42AF-B003-F76F799B1F34}" type="presOf" srcId="{CF73FFCF-6947-4444-81C9-3BA4F540D404}" destId="{57F5F8B8-217C-4552-A6C8-E4A09AEF3D0E}" srcOrd="0" destOrd="0" presId="urn:microsoft.com/office/officeart/2005/8/layout/process3"/>
    <dgm:cxn modelId="{4624F488-0DE9-4924-A0C7-04BA171203E0}" type="presOf" srcId="{B2D98B4F-179A-4C48-8A12-DC529682F949}" destId="{43678C46-1B73-4B0E-A215-18D190F02402}" srcOrd="1" destOrd="0" presId="urn:microsoft.com/office/officeart/2005/8/layout/process3"/>
    <dgm:cxn modelId="{D7E9B5A8-6EF2-4D56-A537-9DF1180D4241}" srcId="{DD9C48F8-6222-4A90-800C-DAAF08216DE8}" destId="{0C206B02-1551-45A5-B3F0-125BE04EB813}" srcOrd="1" destOrd="0" parTransId="{8D78B1D2-946E-4023-8A12-28F729B894B0}" sibTransId="{AAE6754F-7BB6-49D4-8CB9-C48451F1CB54}"/>
    <dgm:cxn modelId="{B51CD56A-4061-41C9-923B-647F3AC51D79}" srcId="{EBACAE07-B6F2-44FE-A631-1418C5400F5E}" destId="{B518215E-96F8-4550-8C39-27FB4A734334}" srcOrd="0" destOrd="0" parTransId="{27941E62-6270-4E94-B536-89E646D62489}" sibTransId="{56938980-6C7B-48B4-979C-2440FE05C4E7}"/>
    <dgm:cxn modelId="{3376FFF7-CC7A-4C11-A016-4E71F5174819}" type="presOf" srcId="{67EE3BB9-2029-4E29-B69C-B4C18E4F4CD7}" destId="{C552CBE7-4699-406A-9C9C-0D9019B76CDE}" srcOrd="0" destOrd="0" presId="urn:microsoft.com/office/officeart/2005/8/layout/process3"/>
    <dgm:cxn modelId="{D61EB422-7FB6-405E-84D7-62E360FF41C3}" srcId="{DD9C48F8-6222-4A90-800C-DAAF08216DE8}" destId="{EBACAE07-B6F2-44FE-A631-1418C5400F5E}" srcOrd="0" destOrd="0" parTransId="{5BD8F967-47BC-4D02-9A6C-9BC54CF693A0}" sibTransId="{A50E8F4D-DBCD-40C1-99A1-CED3816FCC7F}"/>
    <dgm:cxn modelId="{75CF8B06-6D33-44FC-8456-C7586EBC65E9}" srcId="{67EE3BB9-2029-4E29-B69C-B4C18E4F4CD7}" destId="{AF5B923F-172E-4BA2-8006-BBE13EEF8229}" srcOrd="1" destOrd="0" parTransId="{8607206B-DC88-402F-A74F-16FAB52A8401}" sibTransId="{6BAA4FC6-18A4-4DB4-9CE8-6E346C0C6F2E}"/>
    <dgm:cxn modelId="{4F46C157-C9DD-4C4D-B178-6BCE29F47539}" srcId="{5115A695-B183-496F-A776-37EA6742615E}" destId="{B7AF5237-8706-4548-B962-5F082AD9F2BE}" srcOrd="1" destOrd="0" parTransId="{41C618D6-FDB0-4C78-89AC-9AA10062300D}" sibTransId="{DECE054D-C5EC-4341-8160-0F7E6F2C832B}"/>
    <dgm:cxn modelId="{0A82910A-653D-4D2B-B6A9-84FDF8EC7F4C}" srcId="{5115A695-B183-496F-A776-37EA6742615E}" destId="{FDA2440E-A5EF-44CB-8F4F-2AF543841592}" srcOrd="0" destOrd="0" parTransId="{031719C4-CCDB-4365-9D63-B7212AB5834F}" sibTransId="{7A955545-8013-4A29-8C2A-5B60B43EF674}"/>
    <dgm:cxn modelId="{BB07C2DB-DFD9-4F10-807A-40055BB3D2A9}" type="presOf" srcId="{B518215E-96F8-4550-8C39-27FB4A734334}" destId="{54E3F55F-7C7D-49B7-99A4-F33A36F3FE9E}" srcOrd="0" destOrd="0" presId="urn:microsoft.com/office/officeart/2005/8/layout/process3"/>
    <dgm:cxn modelId="{64D343B1-46A8-4836-B162-7919076731ED}" type="presOf" srcId="{67EE3BB9-2029-4E29-B69C-B4C18E4F4CD7}" destId="{2DE2B3C4-1BE6-465E-B707-1293739D1158}" srcOrd="1" destOrd="0" presId="urn:microsoft.com/office/officeart/2005/8/layout/process3"/>
    <dgm:cxn modelId="{B2CDDDC4-CF12-4DEA-9B0E-B0B192F115F1}" srcId="{67EE3BB9-2029-4E29-B69C-B4C18E4F4CD7}" destId="{43853F09-2702-4450-8C15-D85E9E786D43}" srcOrd="0" destOrd="0" parTransId="{FDE28E50-B505-4E95-B8FB-3A2DB1C91FF9}" sibTransId="{BDE54D28-BCE0-49AE-9282-4953108CF2F3}"/>
    <dgm:cxn modelId="{65FD6FA2-B2F7-4EC6-A5E0-CDC49FE5EDAD}" type="presOf" srcId="{0C206B02-1551-45A5-B3F0-125BE04EB813}" destId="{3DDA5457-8AC1-45C0-8D15-E76E10B8036A}" srcOrd="1" destOrd="0" presId="urn:microsoft.com/office/officeart/2005/8/layout/process3"/>
    <dgm:cxn modelId="{E59AD052-EF39-4F02-9898-A40D27CBC4A2}" type="presOf" srcId="{EBACAE07-B6F2-44FE-A631-1418C5400F5E}" destId="{E2211EBF-1ECB-4372-ABDB-1A1899A95097}" srcOrd="0" destOrd="0" presId="urn:microsoft.com/office/officeart/2005/8/layout/process3"/>
    <dgm:cxn modelId="{766E8F4B-CBAB-4A79-9F58-B24A4604E4A9}" type="presOf" srcId="{B7AF5237-8706-4548-B962-5F082AD9F2BE}" destId="{F6CACE48-BEF2-4433-AA58-C47385E92D3C}" srcOrd="0" destOrd="2" presId="urn:microsoft.com/office/officeart/2005/8/layout/process3"/>
    <dgm:cxn modelId="{2FA6D516-CE81-471C-A3C0-B0395B08AD71}" type="presOf" srcId="{73F5B0CB-6731-42DC-AE18-B8A7A658A220}" destId="{564584BC-F808-48B5-9330-F3739195DBB2}" srcOrd="0" destOrd="0" presId="urn:microsoft.com/office/officeart/2005/8/layout/process3"/>
    <dgm:cxn modelId="{0723FA9B-A8C1-497A-9507-A9681E36E46E}" type="presOf" srcId="{43853F09-2702-4450-8C15-D85E9E786D43}" destId="{5B9414E0-CA74-42DC-926A-8DD3819C1FD0}" srcOrd="0" destOrd="0" presId="urn:microsoft.com/office/officeart/2005/8/layout/process3"/>
    <dgm:cxn modelId="{5713C690-6D0D-43FF-A78B-81E8AE54489E}" srcId="{DD9C48F8-6222-4A90-800C-DAAF08216DE8}" destId="{67EE3BB9-2029-4E29-B69C-B4C18E4F4CD7}" srcOrd="3" destOrd="0" parTransId="{48DDB621-4ADC-46FE-A274-EE9850F4C930}" sibTransId="{8F8925BC-EDCC-422E-AC3B-74C170088F96}"/>
    <dgm:cxn modelId="{41F1CA57-2546-4406-A146-0C53ABC3AF48}" type="presOf" srcId="{AF5B923F-172E-4BA2-8006-BBE13EEF8229}" destId="{5B9414E0-CA74-42DC-926A-8DD3819C1FD0}" srcOrd="0" destOrd="1" presId="urn:microsoft.com/office/officeart/2005/8/layout/process3"/>
    <dgm:cxn modelId="{1E2835FF-C0A3-434D-92D8-82B0A4293945}" type="presOf" srcId="{EBACAE07-B6F2-44FE-A631-1418C5400F5E}" destId="{C18DEEE8-CAB5-4C6D-96A6-02A4A966D726}" srcOrd="1" destOrd="0" presId="urn:microsoft.com/office/officeart/2005/8/layout/process3"/>
    <dgm:cxn modelId="{282B06C5-6AEB-4C12-B530-88511945CF2B}" srcId="{0C206B02-1551-45A5-B3F0-125BE04EB813}" destId="{5115A695-B183-496F-A776-37EA6742615E}" srcOrd="0" destOrd="0" parTransId="{89316DDD-E956-4C65-9F78-4B4015114035}" sibTransId="{898257F3-F59F-4C5D-B0EA-335ED4A0C448}"/>
    <dgm:cxn modelId="{6E257775-1EA8-4FD7-B396-A37986AC15EE}" type="presParOf" srcId="{D6E2E4E0-7E56-44E1-B742-461EB49A4269}" destId="{05CBE41A-FB73-4A8A-929B-E346C418EFF2}" srcOrd="0" destOrd="0" presId="urn:microsoft.com/office/officeart/2005/8/layout/process3"/>
    <dgm:cxn modelId="{19127EB7-1ED3-4D21-8705-B936B379393D}" type="presParOf" srcId="{05CBE41A-FB73-4A8A-929B-E346C418EFF2}" destId="{E2211EBF-1ECB-4372-ABDB-1A1899A95097}" srcOrd="0" destOrd="0" presId="urn:microsoft.com/office/officeart/2005/8/layout/process3"/>
    <dgm:cxn modelId="{96DC138A-F886-426E-957C-4DBDBC0655BA}" type="presParOf" srcId="{05CBE41A-FB73-4A8A-929B-E346C418EFF2}" destId="{C18DEEE8-CAB5-4C6D-96A6-02A4A966D726}" srcOrd="1" destOrd="0" presId="urn:microsoft.com/office/officeart/2005/8/layout/process3"/>
    <dgm:cxn modelId="{8F06CB18-E831-4A06-9EFE-CCD705B7EEA0}" type="presParOf" srcId="{05CBE41A-FB73-4A8A-929B-E346C418EFF2}" destId="{54E3F55F-7C7D-49B7-99A4-F33A36F3FE9E}" srcOrd="2" destOrd="0" presId="urn:microsoft.com/office/officeart/2005/8/layout/process3"/>
    <dgm:cxn modelId="{4B4CF4F1-47D5-4B14-86AC-1E4A72E550F0}" type="presParOf" srcId="{D6E2E4E0-7E56-44E1-B742-461EB49A4269}" destId="{66007B76-94B6-424D-A545-CEC649BCDA2F}" srcOrd="1" destOrd="0" presId="urn:microsoft.com/office/officeart/2005/8/layout/process3"/>
    <dgm:cxn modelId="{C45834A2-40FF-43B2-8EF1-49C404ECBFB8}" type="presParOf" srcId="{66007B76-94B6-424D-A545-CEC649BCDA2F}" destId="{F5400C99-84F2-4ECF-87EF-91B6578E4B1E}" srcOrd="0" destOrd="0" presId="urn:microsoft.com/office/officeart/2005/8/layout/process3"/>
    <dgm:cxn modelId="{5AEB630A-7D28-464A-AAAE-A33D578A9E1C}" type="presParOf" srcId="{D6E2E4E0-7E56-44E1-B742-461EB49A4269}" destId="{0C2D0BA9-5B78-42AD-8A12-C5F7CE69C2F6}" srcOrd="2" destOrd="0" presId="urn:microsoft.com/office/officeart/2005/8/layout/process3"/>
    <dgm:cxn modelId="{37EBCC68-157C-4006-B313-6C86C2680A0D}" type="presParOf" srcId="{0C2D0BA9-5B78-42AD-8A12-C5F7CE69C2F6}" destId="{BAF806E4-DC48-451F-A5FC-27375F08B9C5}" srcOrd="0" destOrd="0" presId="urn:microsoft.com/office/officeart/2005/8/layout/process3"/>
    <dgm:cxn modelId="{CC57612C-D52D-46EE-8C14-BE0ED07D8287}" type="presParOf" srcId="{0C2D0BA9-5B78-42AD-8A12-C5F7CE69C2F6}" destId="{3DDA5457-8AC1-45C0-8D15-E76E10B8036A}" srcOrd="1" destOrd="0" presId="urn:microsoft.com/office/officeart/2005/8/layout/process3"/>
    <dgm:cxn modelId="{2A06D4BE-C400-467E-8ACA-6248A48253CF}" type="presParOf" srcId="{0C2D0BA9-5B78-42AD-8A12-C5F7CE69C2F6}" destId="{F6CACE48-BEF2-4433-AA58-C47385E92D3C}" srcOrd="2" destOrd="0" presId="urn:microsoft.com/office/officeart/2005/8/layout/process3"/>
    <dgm:cxn modelId="{738C299A-914A-47D4-860E-F7E0C537B310}" type="presParOf" srcId="{D6E2E4E0-7E56-44E1-B742-461EB49A4269}" destId="{D96DBB96-9E8E-44EB-963D-7D461D533904}" srcOrd="3" destOrd="0" presId="urn:microsoft.com/office/officeart/2005/8/layout/process3"/>
    <dgm:cxn modelId="{F0B61F24-3A2C-483A-931E-FB2961DD7D45}" type="presParOf" srcId="{D96DBB96-9E8E-44EB-963D-7D461D533904}" destId="{C117D41F-972A-4809-B45E-2375A4E50B6A}" srcOrd="0" destOrd="0" presId="urn:microsoft.com/office/officeart/2005/8/layout/process3"/>
    <dgm:cxn modelId="{E8132AF0-8177-4E25-9ECC-4CF0721171BF}" type="presParOf" srcId="{D6E2E4E0-7E56-44E1-B742-461EB49A4269}" destId="{DA05E968-E458-4095-B5FB-94CF6BA715D7}" srcOrd="4" destOrd="0" presId="urn:microsoft.com/office/officeart/2005/8/layout/process3"/>
    <dgm:cxn modelId="{01D65C73-0541-46D4-95B9-379CEA6A889E}" type="presParOf" srcId="{DA05E968-E458-4095-B5FB-94CF6BA715D7}" destId="{2119ECE5-0AA0-4894-B098-A3ED734465E9}" srcOrd="0" destOrd="0" presId="urn:microsoft.com/office/officeart/2005/8/layout/process3"/>
    <dgm:cxn modelId="{C188A14D-D97D-4085-9F3D-9810E5BAE0B9}" type="presParOf" srcId="{DA05E968-E458-4095-B5FB-94CF6BA715D7}" destId="{43678C46-1B73-4B0E-A215-18D190F02402}" srcOrd="1" destOrd="0" presId="urn:microsoft.com/office/officeart/2005/8/layout/process3"/>
    <dgm:cxn modelId="{EA025C9D-4384-4FCF-ACFF-E6775026C580}" type="presParOf" srcId="{DA05E968-E458-4095-B5FB-94CF6BA715D7}" destId="{564584BC-F808-48B5-9330-F3739195DBB2}" srcOrd="2" destOrd="0" presId="urn:microsoft.com/office/officeart/2005/8/layout/process3"/>
    <dgm:cxn modelId="{52BDB789-D425-4EED-92BB-F16EF81548AD}" type="presParOf" srcId="{D6E2E4E0-7E56-44E1-B742-461EB49A4269}" destId="{57F5F8B8-217C-4552-A6C8-E4A09AEF3D0E}" srcOrd="5" destOrd="0" presId="urn:microsoft.com/office/officeart/2005/8/layout/process3"/>
    <dgm:cxn modelId="{99559125-BCAC-4B79-8AA5-23B6441E211B}" type="presParOf" srcId="{57F5F8B8-217C-4552-A6C8-E4A09AEF3D0E}" destId="{6110CABF-377B-43FA-A76C-D80543E6CD43}" srcOrd="0" destOrd="0" presId="urn:microsoft.com/office/officeart/2005/8/layout/process3"/>
    <dgm:cxn modelId="{24EB7551-B843-4B64-93BE-E3B43A1A9C02}" type="presParOf" srcId="{D6E2E4E0-7E56-44E1-B742-461EB49A4269}" destId="{B0BDBCAC-C203-4247-8D8E-F23D839FD651}" srcOrd="6" destOrd="0" presId="urn:microsoft.com/office/officeart/2005/8/layout/process3"/>
    <dgm:cxn modelId="{1D1BF8AD-A15B-4966-95D6-05FC9217CC9C}" type="presParOf" srcId="{B0BDBCAC-C203-4247-8D8E-F23D839FD651}" destId="{C552CBE7-4699-406A-9C9C-0D9019B76CDE}" srcOrd="0" destOrd="0" presId="urn:microsoft.com/office/officeart/2005/8/layout/process3"/>
    <dgm:cxn modelId="{351058DE-DA69-4FE4-A5E2-2824429728ED}" type="presParOf" srcId="{B0BDBCAC-C203-4247-8D8E-F23D839FD651}" destId="{2DE2B3C4-1BE6-465E-B707-1293739D1158}" srcOrd="1" destOrd="0" presId="urn:microsoft.com/office/officeart/2005/8/layout/process3"/>
    <dgm:cxn modelId="{EED20334-62B3-466C-AB79-84F7AFC9A52D}" type="presParOf" srcId="{B0BDBCAC-C203-4247-8D8E-F23D839FD651}" destId="{5B9414E0-CA74-42DC-926A-8DD3819C1FD0}" srcOrd="2" destOrd="0" presId="urn:microsoft.com/office/officeart/2005/8/layout/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8DEEE8-CAB5-4C6D-96A6-02A4A966D726}">
      <dsp:nvSpPr>
        <dsp:cNvPr id="0" name=""/>
        <dsp:cNvSpPr/>
      </dsp:nvSpPr>
      <dsp:spPr>
        <a:xfrm>
          <a:off x="724" y="36305"/>
          <a:ext cx="910520" cy="52662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Menu</a:t>
          </a:r>
        </a:p>
      </dsp:txBody>
      <dsp:txXfrm>
        <a:off x="724" y="36305"/>
        <a:ext cx="910520" cy="351082"/>
      </dsp:txXfrm>
    </dsp:sp>
    <dsp:sp modelId="{54E3F55F-7C7D-49B7-99A4-F33A36F3FE9E}">
      <dsp:nvSpPr>
        <dsp:cNvPr id="0" name=""/>
        <dsp:cNvSpPr/>
      </dsp:nvSpPr>
      <dsp:spPr>
        <a:xfrm>
          <a:off x="187216" y="387387"/>
          <a:ext cx="910520" cy="1328906"/>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Determine a list of items and billing method for each.</a:t>
          </a:r>
        </a:p>
      </dsp:txBody>
      <dsp:txXfrm>
        <a:off x="213884" y="414055"/>
        <a:ext cx="857184" cy="1275570"/>
      </dsp:txXfrm>
    </dsp:sp>
    <dsp:sp modelId="{66007B76-94B6-424D-A545-CEC649BCDA2F}">
      <dsp:nvSpPr>
        <dsp:cNvPr id="0" name=""/>
        <dsp:cNvSpPr/>
      </dsp:nvSpPr>
      <dsp:spPr>
        <a:xfrm>
          <a:off x="1049276" y="98500"/>
          <a:ext cx="292626" cy="22669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049276" y="143839"/>
        <a:ext cx="224618" cy="136015"/>
      </dsp:txXfrm>
    </dsp:sp>
    <dsp:sp modelId="{3DDA5457-8AC1-45C0-8D15-E76E10B8036A}">
      <dsp:nvSpPr>
        <dsp:cNvPr id="0" name=""/>
        <dsp:cNvSpPr/>
      </dsp:nvSpPr>
      <dsp:spPr>
        <a:xfrm>
          <a:off x="1463370" y="36305"/>
          <a:ext cx="910520" cy="52662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Customers &amp; Sales</a:t>
          </a:r>
        </a:p>
      </dsp:txBody>
      <dsp:txXfrm>
        <a:off x="1463370" y="36305"/>
        <a:ext cx="910520" cy="351082"/>
      </dsp:txXfrm>
    </dsp:sp>
    <dsp:sp modelId="{F6CACE48-BEF2-4433-AA58-C47385E92D3C}">
      <dsp:nvSpPr>
        <dsp:cNvPr id="0" name=""/>
        <dsp:cNvSpPr/>
      </dsp:nvSpPr>
      <dsp:spPr>
        <a:xfrm>
          <a:off x="1649862" y="387387"/>
          <a:ext cx="910520" cy="1328906"/>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Who will buy and at what quantity?</a:t>
          </a:r>
        </a:p>
        <a:p>
          <a:pPr marL="114300" lvl="2" indent="-57150" algn="l" defTabSz="400050">
            <a:lnSpc>
              <a:spcPct val="90000"/>
            </a:lnSpc>
            <a:spcBef>
              <a:spcPct val="0"/>
            </a:spcBef>
            <a:spcAft>
              <a:spcPct val="15000"/>
            </a:spcAft>
            <a:buChar char="••"/>
          </a:pPr>
          <a:r>
            <a:rPr lang="en-US" sz="900" kern="1200"/>
            <a:t>Students</a:t>
          </a:r>
        </a:p>
        <a:p>
          <a:pPr marL="114300" lvl="2" indent="-57150" algn="l" defTabSz="400050">
            <a:lnSpc>
              <a:spcPct val="90000"/>
            </a:lnSpc>
            <a:spcBef>
              <a:spcPct val="0"/>
            </a:spcBef>
            <a:spcAft>
              <a:spcPct val="15000"/>
            </a:spcAft>
            <a:buChar char="••"/>
          </a:pPr>
          <a:r>
            <a:rPr lang="en-US" sz="900" kern="1200"/>
            <a:t>Researchs</a:t>
          </a:r>
        </a:p>
        <a:p>
          <a:pPr marL="114300" lvl="2" indent="-57150" algn="l" defTabSz="400050">
            <a:lnSpc>
              <a:spcPct val="90000"/>
            </a:lnSpc>
            <a:spcBef>
              <a:spcPct val="0"/>
            </a:spcBef>
            <a:spcAft>
              <a:spcPct val="15000"/>
            </a:spcAft>
            <a:buChar char="••"/>
          </a:pPr>
          <a:r>
            <a:rPr lang="en-US" sz="900" kern="1200"/>
            <a:t>Industry</a:t>
          </a:r>
        </a:p>
      </dsp:txBody>
      <dsp:txXfrm>
        <a:off x="1676530" y="414055"/>
        <a:ext cx="857184" cy="1275570"/>
      </dsp:txXfrm>
    </dsp:sp>
    <dsp:sp modelId="{D96DBB96-9E8E-44EB-963D-7D461D533904}">
      <dsp:nvSpPr>
        <dsp:cNvPr id="0" name=""/>
        <dsp:cNvSpPr/>
      </dsp:nvSpPr>
      <dsp:spPr>
        <a:xfrm>
          <a:off x="2511922" y="98500"/>
          <a:ext cx="292626" cy="22669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511922" y="143839"/>
        <a:ext cx="224618" cy="136015"/>
      </dsp:txXfrm>
    </dsp:sp>
    <dsp:sp modelId="{43678C46-1B73-4B0E-A215-18D190F02402}">
      <dsp:nvSpPr>
        <dsp:cNvPr id="0" name=""/>
        <dsp:cNvSpPr/>
      </dsp:nvSpPr>
      <dsp:spPr>
        <a:xfrm>
          <a:off x="2926017" y="36305"/>
          <a:ext cx="910520" cy="52662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Operating Costs</a:t>
          </a:r>
        </a:p>
      </dsp:txBody>
      <dsp:txXfrm>
        <a:off x="2926017" y="36305"/>
        <a:ext cx="910520" cy="351082"/>
      </dsp:txXfrm>
    </dsp:sp>
    <dsp:sp modelId="{564584BC-F808-48B5-9330-F3739195DBB2}">
      <dsp:nvSpPr>
        <dsp:cNvPr id="0" name=""/>
        <dsp:cNvSpPr/>
      </dsp:nvSpPr>
      <dsp:spPr>
        <a:xfrm>
          <a:off x="3112509" y="387387"/>
          <a:ext cx="910520" cy="1328906"/>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Measure your fixed, variable, direct or indirect costs and allocate to all sales or by each items/service.</a:t>
          </a:r>
        </a:p>
      </dsp:txBody>
      <dsp:txXfrm>
        <a:off x="3139177" y="414055"/>
        <a:ext cx="857184" cy="1275570"/>
      </dsp:txXfrm>
    </dsp:sp>
    <dsp:sp modelId="{57F5F8B8-217C-4552-A6C8-E4A09AEF3D0E}">
      <dsp:nvSpPr>
        <dsp:cNvPr id="0" name=""/>
        <dsp:cNvSpPr/>
      </dsp:nvSpPr>
      <dsp:spPr>
        <a:xfrm>
          <a:off x="3974568" y="98500"/>
          <a:ext cx="292626" cy="22669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974568" y="143839"/>
        <a:ext cx="224618" cy="136015"/>
      </dsp:txXfrm>
    </dsp:sp>
    <dsp:sp modelId="{2DE2B3C4-1BE6-465E-B707-1293739D1158}">
      <dsp:nvSpPr>
        <dsp:cNvPr id="0" name=""/>
        <dsp:cNvSpPr/>
      </dsp:nvSpPr>
      <dsp:spPr>
        <a:xfrm>
          <a:off x="4388663" y="36305"/>
          <a:ext cx="910520" cy="52662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Calculate Rate.</a:t>
          </a:r>
        </a:p>
      </dsp:txBody>
      <dsp:txXfrm>
        <a:off x="4388663" y="36305"/>
        <a:ext cx="910520" cy="351082"/>
      </dsp:txXfrm>
    </dsp:sp>
    <dsp:sp modelId="{5B9414E0-CA74-42DC-926A-8DD3819C1FD0}">
      <dsp:nvSpPr>
        <dsp:cNvPr id="0" name=""/>
        <dsp:cNvSpPr/>
      </dsp:nvSpPr>
      <dsp:spPr>
        <a:xfrm>
          <a:off x="4575155" y="387387"/>
          <a:ext cx="910520" cy="1328906"/>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Internal User Rate</a:t>
          </a:r>
        </a:p>
        <a:p>
          <a:pPr marL="57150" lvl="1" indent="-57150" algn="l" defTabSz="400050">
            <a:lnSpc>
              <a:spcPct val="90000"/>
            </a:lnSpc>
            <a:spcBef>
              <a:spcPct val="0"/>
            </a:spcBef>
            <a:spcAft>
              <a:spcPct val="15000"/>
            </a:spcAft>
            <a:buChar char="••"/>
          </a:pPr>
          <a:r>
            <a:rPr lang="en-US" sz="900" kern="1200"/>
            <a:t>External User Rate</a:t>
          </a:r>
        </a:p>
      </dsp:txBody>
      <dsp:txXfrm>
        <a:off x="4601823" y="414055"/>
        <a:ext cx="857184" cy="12755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2737</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Perkins</dc:creator>
  <cp:keywords/>
  <dc:description/>
  <cp:lastModifiedBy>Patricia R Perkins</cp:lastModifiedBy>
  <cp:revision>6</cp:revision>
  <dcterms:created xsi:type="dcterms:W3CDTF">2022-06-06T17:30:00Z</dcterms:created>
  <dcterms:modified xsi:type="dcterms:W3CDTF">2022-06-24T15:23:00Z</dcterms:modified>
</cp:coreProperties>
</file>